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75D4A" w:rsidRPr="00375DA8" w14:paraId="5DC0C7B8" w14:textId="77777777" w:rsidTr="008124A9">
        <w:tc>
          <w:tcPr>
            <w:tcW w:w="9180" w:type="dxa"/>
            <w:tcBorders>
              <w:top w:val="nil"/>
              <w:left w:val="nil"/>
              <w:bottom w:val="single" w:sz="4" w:space="0" w:color="auto"/>
              <w:right w:val="nil"/>
            </w:tcBorders>
            <w:hideMark/>
          </w:tcPr>
          <w:p w14:paraId="5924399F" w14:textId="5D2141FD" w:rsidR="00DF2F4D" w:rsidRPr="00345BFD" w:rsidRDefault="00475D4A" w:rsidP="00345BFD">
            <w:pPr>
              <w:pStyle w:val="Virsraksts1"/>
              <w:spacing w:before="120" w:after="120" w:line="276" w:lineRule="auto"/>
              <w:ind w:right="-2"/>
              <w:rPr>
                <w:sz w:val="36"/>
                <w:szCs w:val="36"/>
                <w:lang w:val="lv-LV"/>
              </w:rPr>
            </w:pPr>
            <w:r w:rsidRPr="00375DA8">
              <w:rPr>
                <w:noProof/>
                <w:sz w:val="36"/>
                <w:szCs w:val="36"/>
                <w:lang w:val="lv-LV" w:eastAsia="lv-LV"/>
              </w:rPr>
              <w:drawing>
                <wp:inline distT="0" distB="0" distL="0" distR="0" wp14:anchorId="2E332A3E" wp14:editId="7BE8556D">
                  <wp:extent cx="518160" cy="762000"/>
                  <wp:effectExtent l="0" t="0" r="0" b="0"/>
                  <wp:docPr id="2" name="Attēls 2"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inline>
              </w:drawing>
            </w:r>
          </w:p>
          <w:p w14:paraId="682B3C9A" w14:textId="2D619B56" w:rsidR="00286617" w:rsidRPr="00345BFD" w:rsidRDefault="00475D4A" w:rsidP="00D2188A">
            <w:pPr>
              <w:pStyle w:val="Virsraksts1"/>
              <w:spacing w:before="120" w:after="120" w:line="276" w:lineRule="auto"/>
              <w:ind w:right="-2"/>
              <w:rPr>
                <w:rFonts w:ascii="Arial" w:hAnsi="Arial" w:cs="Arial"/>
                <w:b w:val="0"/>
                <w:bCs w:val="0"/>
                <w:sz w:val="28"/>
                <w:szCs w:val="28"/>
                <w:lang w:val="lv-LV"/>
              </w:rPr>
            </w:pPr>
            <w:r w:rsidRPr="00345BFD">
              <w:rPr>
                <w:rFonts w:ascii="Arial" w:hAnsi="Arial" w:cs="Arial"/>
                <w:b w:val="0"/>
                <w:bCs w:val="0"/>
                <w:sz w:val="28"/>
                <w:szCs w:val="28"/>
                <w:lang w:val="lv-LV"/>
              </w:rPr>
              <w:t>D</w:t>
            </w:r>
            <w:r w:rsidR="00345BFD" w:rsidRPr="00345BFD">
              <w:rPr>
                <w:rFonts w:ascii="Arial" w:hAnsi="Arial" w:cs="Arial"/>
                <w:b w:val="0"/>
                <w:bCs w:val="0"/>
                <w:sz w:val="28"/>
                <w:szCs w:val="28"/>
                <w:lang w:val="lv-LV"/>
              </w:rPr>
              <w:t>ienvidkurzemes novada pašvaldība</w:t>
            </w:r>
          </w:p>
        </w:tc>
      </w:tr>
    </w:tbl>
    <w:p w14:paraId="6BD67BB8" w14:textId="05AD2A37" w:rsidR="00DB4860" w:rsidRDefault="00345BFD" w:rsidP="00345BFD">
      <w:pPr>
        <w:jc w:val="center"/>
      </w:pPr>
      <w:r>
        <w:t xml:space="preserve">Lielā iela 76, Grobiņa, Dienvidkurzemes novads, LV-3430, reģistrācijas Nr. 90000058625,                     </w:t>
      </w:r>
      <w:r w:rsidR="00622939">
        <w:t xml:space="preserve">  </w:t>
      </w:r>
      <w:r>
        <w:t xml:space="preserve">tālr. 63490458, e-pasts pasts@dkn.lv, </w:t>
      </w:r>
      <w:hyperlink r:id="rId6" w:history="1">
        <w:r w:rsidR="00570A9F" w:rsidRPr="00EF38CC">
          <w:rPr>
            <w:rStyle w:val="Hipersaite"/>
          </w:rPr>
          <w:t>www.dkn.lv</w:t>
        </w:r>
      </w:hyperlink>
    </w:p>
    <w:p w14:paraId="1836AEAB" w14:textId="0F317821" w:rsidR="00570A9F" w:rsidRDefault="00570A9F" w:rsidP="00345BFD">
      <w:pPr>
        <w:jc w:val="center"/>
      </w:pPr>
    </w:p>
    <w:p w14:paraId="095B1C94" w14:textId="77777777" w:rsidR="00570A9F" w:rsidRPr="00570A9F" w:rsidRDefault="00570A9F" w:rsidP="00570A9F">
      <w:pPr>
        <w:overflowPunct w:val="0"/>
        <w:autoSpaceDE w:val="0"/>
        <w:adjustRightInd w:val="0"/>
        <w:spacing w:after="0" w:line="240" w:lineRule="auto"/>
        <w:ind w:right="180"/>
        <w:jc w:val="right"/>
        <w:rPr>
          <w:rFonts w:ascii="Arial" w:eastAsiaTheme="minorHAnsi" w:hAnsi="Arial" w:cs="Arial"/>
          <w:b/>
          <w:i/>
          <w:color w:val="000000"/>
        </w:rPr>
      </w:pPr>
      <w:r w:rsidRPr="00570A9F">
        <w:rPr>
          <w:rFonts w:ascii="Arial" w:eastAsiaTheme="minorHAnsi" w:hAnsi="Arial" w:cs="Arial"/>
          <w:b/>
          <w:i/>
          <w:color w:val="000000"/>
        </w:rPr>
        <w:t>APSTIPRINĀTI</w:t>
      </w:r>
    </w:p>
    <w:p w14:paraId="07642107" w14:textId="77777777" w:rsidR="00570A9F" w:rsidRPr="00570A9F" w:rsidRDefault="00570A9F" w:rsidP="00570A9F">
      <w:pPr>
        <w:tabs>
          <w:tab w:val="left" w:pos="3990"/>
          <w:tab w:val="right" w:pos="9180"/>
        </w:tabs>
        <w:spacing w:after="0" w:line="240" w:lineRule="auto"/>
        <w:ind w:right="180"/>
        <w:jc w:val="right"/>
        <w:rPr>
          <w:rFonts w:ascii="Arial" w:hAnsi="Arial" w:cs="Arial"/>
          <w:i/>
          <w:color w:val="000000"/>
        </w:rPr>
      </w:pPr>
      <w:r w:rsidRPr="00570A9F">
        <w:rPr>
          <w:rFonts w:ascii="Arial" w:hAnsi="Arial" w:cs="Arial"/>
          <w:i/>
          <w:color w:val="000000"/>
        </w:rPr>
        <w:t xml:space="preserve">Dienvidkurzemes novada pašvaldības </w:t>
      </w:r>
    </w:p>
    <w:p w14:paraId="2753B30E" w14:textId="77777777" w:rsidR="00570A9F" w:rsidRPr="00570A9F" w:rsidRDefault="00570A9F" w:rsidP="00570A9F">
      <w:pPr>
        <w:tabs>
          <w:tab w:val="left" w:pos="3990"/>
          <w:tab w:val="right" w:pos="9180"/>
        </w:tabs>
        <w:spacing w:after="0" w:line="240" w:lineRule="auto"/>
        <w:ind w:right="180"/>
        <w:jc w:val="right"/>
        <w:rPr>
          <w:rFonts w:ascii="Arial" w:hAnsi="Arial" w:cs="Arial"/>
          <w:i/>
          <w:color w:val="000000"/>
        </w:rPr>
      </w:pPr>
      <w:r w:rsidRPr="00570A9F">
        <w:rPr>
          <w:rFonts w:ascii="Arial" w:hAnsi="Arial" w:cs="Arial"/>
          <w:i/>
          <w:color w:val="000000"/>
        </w:rPr>
        <w:t xml:space="preserve">26.08.2021. sēdē </w:t>
      </w:r>
    </w:p>
    <w:p w14:paraId="5108EBB0" w14:textId="77777777" w:rsidR="00570A9F" w:rsidRPr="00570A9F" w:rsidRDefault="00570A9F" w:rsidP="00570A9F">
      <w:pPr>
        <w:tabs>
          <w:tab w:val="left" w:pos="3990"/>
          <w:tab w:val="right" w:pos="9180"/>
        </w:tabs>
        <w:spacing w:after="0" w:line="240" w:lineRule="auto"/>
        <w:ind w:right="180"/>
        <w:jc w:val="right"/>
        <w:rPr>
          <w:rFonts w:ascii="Arial" w:hAnsi="Arial" w:cs="Arial"/>
          <w:i/>
          <w:color w:val="000000"/>
        </w:rPr>
      </w:pPr>
      <w:r w:rsidRPr="00570A9F">
        <w:rPr>
          <w:rFonts w:ascii="Arial" w:hAnsi="Arial" w:cs="Arial"/>
          <w:i/>
          <w:color w:val="000000"/>
        </w:rPr>
        <w:t>(protokols Nr.8., 11.§)</w:t>
      </w:r>
    </w:p>
    <w:p w14:paraId="5E46A357" w14:textId="77777777" w:rsidR="00570A9F" w:rsidRPr="00570A9F" w:rsidRDefault="00570A9F" w:rsidP="00570A9F">
      <w:pPr>
        <w:tabs>
          <w:tab w:val="left" w:pos="3990"/>
          <w:tab w:val="right" w:pos="9180"/>
        </w:tabs>
        <w:ind w:right="180"/>
        <w:jc w:val="right"/>
        <w:rPr>
          <w:rFonts w:ascii="Arial" w:hAnsi="Arial" w:cs="Arial"/>
          <w:i/>
          <w:color w:val="000000"/>
        </w:rPr>
      </w:pPr>
    </w:p>
    <w:p w14:paraId="56F529BB" w14:textId="77777777" w:rsidR="00570A9F" w:rsidRPr="00570A9F" w:rsidRDefault="00570A9F" w:rsidP="00570A9F">
      <w:pPr>
        <w:jc w:val="center"/>
        <w:rPr>
          <w:rFonts w:ascii="Arial" w:hAnsi="Arial" w:cs="Arial"/>
          <w:color w:val="000000"/>
        </w:rPr>
      </w:pPr>
      <w:r w:rsidRPr="00570A9F">
        <w:rPr>
          <w:rFonts w:ascii="Arial" w:hAnsi="Arial" w:cs="Arial"/>
          <w:caps/>
          <w:color w:val="000000"/>
        </w:rPr>
        <w:t>Saistošie noteikumi</w:t>
      </w:r>
      <w:r w:rsidRPr="00570A9F">
        <w:rPr>
          <w:rFonts w:ascii="Arial" w:hAnsi="Arial" w:cs="Arial"/>
          <w:color w:val="000000"/>
        </w:rPr>
        <w:t xml:space="preserve"> Nr.4</w:t>
      </w:r>
    </w:p>
    <w:p w14:paraId="164EBEB5" w14:textId="77777777" w:rsidR="00570A9F" w:rsidRPr="00570A9F" w:rsidRDefault="00570A9F" w:rsidP="00570A9F">
      <w:pPr>
        <w:jc w:val="center"/>
        <w:rPr>
          <w:rFonts w:ascii="Arial" w:hAnsi="Arial" w:cs="Arial"/>
          <w:color w:val="000000"/>
        </w:rPr>
      </w:pPr>
    </w:p>
    <w:p w14:paraId="65F6DC13" w14:textId="77777777" w:rsidR="00570A9F" w:rsidRPr="00570A9F" w:rsidRDefault="00570A9F" w:rsidP="00570A9F">
      <w:pPr>
        <w:jc w:val="center"/>
        <w:rPr>
          <w:rFonts w:ascii="Arial" w:hAnsi="Arial" w:cs="Arial"/>
          <w:b/>
        </w:rPr>
      </w:pPr>
      <w:r w:rsidRPr="00570A9F">
        <w:rPr>
          <w:rFonts w:ascii="Arial" w:hAnsi="Arial" w:cs="Arial"/>
          <w:b/>
        </w:rPr>
        <w:t>“Par Dienvidkurzemes novada pašvaldības budžetu 2021.gadam”</w:t>
      </w:r>
    </w:p>
    <w:p w14:paraId="4A65B931" w14:textId="77777777" w:rsidR="00570A9F" w:rsidRPr="00570A9F" w:rsidRDefault="00570A9F" w:rsidP="00570A9F">
      <w:pPr>
        <w:keepNext/>
        <w:spacing w:before="240" w:after="60"/>
        <w:jc w:val="right"/>
        <w:outlineLvl w:val="1"/>
        <w:rPr>
          <w:rFonts w:ascii="Arial" w:hAnsi="Arial" w:cs="Arial"/>
          <w:bCs/>
          <w:i/>
          <w:iCs/>
        </w:rPr>
      </w:pPr>
      <w:r w:rsidRPr="00570A9F">
        <w:rPr>
          <w:rFonts w:ascii="Arial" w:hAnsi="Arial" w:cs="Arial"/>
          <w:bCs/>
          <w:i/>
          <w:iCs/>
        </w:rPr>
        <w:t xml:space="preserve">Izdoti saskaņā ar: </w:t>
      </w:r>
    </w:p>
    <w:p w14:paraId="3B7E630B" w14:textId="77777777" w:rsidR="00570A9F" w:rsidRPr="00570A9F" w:rsidRDefault="00570A9F" w:rsidP="00570A9F">
      <w:pPr>
        <w:jc w:val="right"/>
        <w:rPr>
          <w:rFonts w:ascii="Arial" w:hAnsi="Arial" w:cs="Arial"/>
          <w:i/>
        </w:rPr>
      </w:pPr>
      <w:r w:rsidRPr="00570A9F">
        <w:rPr>
          <w:rFonts w:ascii="Arial" w:hAnsi="Arial" w:cs="Arial"/>
          <w:i/>
        </w:rPr>
        <w:t xml:space="preserve">Likumu „Par pašvaldībām” 46.pantu,  </w:t>
      </w:r>
    </w:p>
    <w:p w14:paraId="7AAA7974" w14:textId="77777777" w:rsidR="00570A9F" w:rsidRPr="00570A9F" w:rsidRDefault="00570A9F" w:rsidP="00570A9F">
      <w:pPr>
        <w:jc w:val="right"/>
        <w:rPr>
          <w:rFonts w:ascii="Arial" w:hAnsi="Arial" w:cs="Arial"/>
          <w:i/>
        </w:rPr>
      </w:pPr>
      <w:r w:rsidRPr="00570A9F">
        <w:rPr>
          <w:rFonts w:ascii="Arial" w:hAnsi="Arial" w:cs="Arial"/>
          <w:i/>
        </w:rPr>
        <w:t>Likumu „Par pašvaldību budžetiem”16. un 17.pantiem un</w:t>
      </w:r>
    </w:p>
    <w:p w14:paraId="562C94D2" w14:textId="77777777" w:rsidR="00570A9F" w:rsidRPr="00570A9F" w:rsidRDefault="00570A9F" w:rsidP="00570A9F">
      <w:pPr>
        <w:numPr>
          <w:ilvl w:val="0"/>
          <w:numId w:val="1"/>
        </w:numPr>
        <w:tabs>
          <w:tab w:val="num" w:pos="0"/>
        </w:tabs>
        <w:spacing w:after="0" w:line="240" w:lineRule="auto"/>
        <w:ind w:left="0" w:firstLine="0"/>
        <w:jc w:val="both"/>
        <w:rPr>
          <w:rFonts w:ascii="Arial" w:hAnsi="Arial" w:cs="Arial"/>
        </w:rPr>
      </w:pPr>
      <w:r w:rsidRPr="00570A9F">
        <w:rPr>
          <w:rFonts w:ascii="Arial" w:hAnsi="Arial" w:cs="Arial"/>
        </w:rPr>
        <w:t>Saistošie noteikumi nosaka Dienvidkurzemes novada pašvaldības  2021.gada pamatbudžeta ieņēmumu, izdevumu un saistību apmēru saimnieciskajā gadā, kā arī budžeta izpildītāju pienākumus un atbildību.</w:t>
      </w:r>
    </w:p>
    <w:p w14:paraId="07562917" w14:textId="77777777" w:rsidR="00570A9F" w:rsidRPr="00570A9F" w:rsidRDefault="00570A9F" w:rsidP="00570A9F">
      <w:pPr>
        <w:jc w:val="both"/>
        <w:rPr>
          <w:rFonts w:ascii="Arial" w:hAnsi="Arial" w:cs="Arial"/>
        </w:rPr>
      </w:pPr>
    </w:p>
    <w:p w14:paraId="0F7300F2" w14:textId="77777777" w:rsidR="00570A9F" w:rsidRPr="00570A9F" w:rsidRDefault="00570A9F" w:rsidP="00570A9F">
      <w:pPr>
        <w:numPr>
          <w:ilvl w:val="0"/>
          <w:numId w:val="1"/>
        </w:numPr>
        <w:tabs>
          <w:tab w:val="num" w:pos="0"/>
        </w:tabs>
        <w:spacing w:after="0" w:line="240" w:lineRule="auto"/>
        <w:ind w:left="0" w:firstLine="0"/>
        <w:jc w:val="both"/>
        <w:rPr>
          <w:rFonts w:ascii="Arial" w:hAnsi="Arial" w:cs="Arial"/>
        </w:rPr>
      </w:pPr>
      <w:r w:rsidRPr="00570A9F">
        <w:rPr>
          <w:rFonts w:ascii="Arial" w:hAnsi="Arial" w:cs="Arial"/>
        </w:rPr>
        <w:t>Apstiprināt Dienvidkurzemes novada pašvaldības  pamatbudžetu 2021.gadam šādā apmērā (1.pielikums):</w:t>
      </w:r>
    </w:p>
    <w:p w14:paraId="49F7F01F" w14:textId="77777777" w:rsidR="00570A9F" w:rsidRPr="00570A9F" w:rsidRDefault="00570A9F" w:rsidP="00570A9F">
      <w:pPr>
        <w:pStyle w:val="Sarakstarindkopa"/>
        <w:rPr>
          <w:rFonts w:ascii="Arial" w:hAnsi="Arial" w:cs="Arial"/>
          <w:sz w:val="22"/>
          <w:szCs w:val="22"/>
        </w:rPr>
      </w:pPr>
    </w:p>
    <w:p w14:paraId="47C3B58B" w14:textId="77777777" w:rsidR="00570A9F" w:rsidRPr="00570A9F" w:rsidRDefault="00570A9F" w:rsidP="00570A9F">
      <w:pPr>
        <w:numPr>
          <w:ilvl w:val="1"/>
          <w:numId w:val="1"/>
        </w:numPr>
        <w:tabs>
          <w:tab w:val="num" w:pos="540"/>
        </w:tabs>
        <w:spacing w:after="0" w:line="240" w:lineRule="auto"/>
        <w:ind w:left="540" w:firstLine="0"/>
        <w:jc w:val="both"/>
        <w:rPr>
          <w:rFonts w:ascii="Arial" w:hAnsi="Arial" w:cs="Arial"/>
        </w:rPr>
      </w:pPr>
      <w:r w:rsidRPr="00570A9F">
        <w:rPr>
          <w:rFonts w:ascii="Arial" w:hAnsi="Arial" w:cs="Arial"/>
        </w:rPr>
        <w:t>kārtējā gada ieņēmumi  47 492 934 EUR,</w:t>
      </w:r>
    </w:p>
    <w:p w14:paraId="3A187EFF" w14:textId="77777777" w:rsidR="00570A9F" w:rsidRPr="00570A9F" w:rsidRDefault="00570A9F" w:rsidP="00570A9F">
      <w:pPr>
        <w:numPr>
          <w:ilvl w:val="1"/>
          <w:numId w:val="1"/>
        </w:numPr>
        <w:tabs>
          <w:tab w:val="num" w:pos="540"/>
        </w:tabs>
        <w:spacing w:after="0" w:line="240" w:lineRule="auto"/>
        <w:ind w:left="540" w:firstLine="0"/>
        <w:jc w:val="both"/>
        <w:rPr>
          <w:rFonts w:ascii="Arial" w:hAnsi="Arial" w:cs="Arial"/>
        </w:rPr>
      </w:pPr>
      <w:r w:rsidRPr="00570A9F">
        <w:rPr>
          <w:rFonts w:ascii="Arial" w:hAnsi="Arial" w:cs="Arial"/>
        </w:rPr>
        <w:t>kārtējā gada izdevumi   58 296 039 EUR,</w:t>
      </w:r>
    </w:p>
    <w:p w14:paraId="58CCCCE2" w14:textId="77777777" w:rsidR="00570A9F" w:rsidRPr="00570A9F" w:rsidRDefault="00570A9F" w:rsidP="00570A9F">
      <w:pPr>
        <w:numPr>
          <w:ilvl w:val="1"/>
          <w:numId w:val="1"/>
        </w:numPr>
        <w:tabs>
          <w:tab w:val="num" w:pos="0"/>
          <w:tab w:val="num" w:pos="540"/>
        </w:tabs>
        <w:spacing w:after="0" w:line="240" w:lineRule="auto"/>
        <w:ind w:left="540" w:firstLine="0"/>
        <w:jc w:val="both"/>
        <w:rPr>
          <w:rFonts w:ascii="Arial" w:hAnsi="Arial" w:cs="Arial"/>
        </w:rPr>
      </w:pPr>
      <w:r w:rsidRPr="00570A9F">
        <w:rPr>
          <w:rFonts w:ascii="Arial" w:hAnsi="Arial" w:cs="Arial"/>
        </w:rPr>
        <w:t>naudas līdzekļu atlikums uz gada sākumu 8 440 124 EUR.</w:t>
      </w:r>
    </w:p>
    <w:p w14:paraId="43DCE88C" w14:textId="77777777" w:rsidR="00570A9F" w:rsidRPr="00570A9F" w:rsidRDefault="00570A9F" w:rsidP="00570A9F">
      <w:pPr>
        <w:jc w:val="both"/>
        <w:rPr>
          <w:rFonts w:ascii="Arial" w:hAnsi="Arial" w:cs="Arial"/>
        </w:rPr>
      </w:pPr>
    </w:p>
    <w:p w14:paraId="0CD212A9" w14:textId="77777777" w:rsidR="00570A9F" w:rsidRPr="00570A9F" w:rsidRDefault="00570A9F" w:rsidP="00570A9F">
      <w:pPr>
        <w:numPr>
          <w:ilvl w:val="0"/>
          <w:numId w:val="1"/>
        </w:numPr>
        <w:spacing w:after="0" w:line="240" w:lineRule="auto"/>
        <w:ind w:hanging="720"/>
        <w:jc w:val="both"/>
        <w:rPr>
          <w:rFonts w:ascii="Arial" w:hAnsi="Arial" w:cs="Arial"/>
        </w:rPr>
      </w:pPr>
      <w:r w:rsidRPr="00570A9F">
        <w:rPr>
          <w:rFonts w:ascii="Arial" w:hAnsi="Arial" w:cs="Arial"/>
        </w:rPr>
        <w:t xml:space="preserve">Apstiprināt Dienvidkurzemes novada pašvaldības aizņēmumu sadaļu 2021.gadam šādā apmērā 4 551 838 EUR. </w:t>
      </w:r>
    </w:p>
    <w:p w14:paraId="7222A207" w14:textId="77777777" w:rsidR="00570A9F" w:rsidRPr="00570A9F" w:rsidRDefault="00570A9F" w:rsidP="00570A9F">
      <w:pPr>
        <w:ind w:left="720"/>
        <w:jc w:val="both"/>
        <w:rPr>
          <w:rFonts w:ascii="Arial" w:hAnsi="Arial" w:cs="Arial"/>
        </w:rPr>
      </w:pPr>
    </w:p>
    <w:p w14:paraId="35AECF12" w14:textId="77777777" w:rsidR="00570A9F" w:rsidRPr="00570A9F" w:rsidRDefault="00570A9F" w:rsidP="00570A9F">
      <w:pPr>
        <w:numPr>
          <w:ilvl w:val="0"/>
          <w:numId w:val="1"/>
        </w:numPr>
        <w:spacing w:after="0" w:line="240" w:lineRule="auto"/>
        <w:ind w:hanging="720"/>
        <w:jc w:val="both"/>
        <w:rPr>
          <w:rFonts w:ascii="Arial" w:hAnsi="Arial" w:cs="Arial"/>
        </w:rPr>
      </w:pPr>
      <w:r w:rsidRPr="00570A9F">
        <w:rPr>
          <w:rFonts w:ascii="Arial" w:hAnsi="Arial" w:cs="Arial"/>
        </w:rPr>
        <w:t>Apstiprināt Dienvidkurzemes novada pašvaldības galvojumus 2021.gadam šādā apmērā 1 345 734 EUR.</w:t>
      </w:r>
    </w:p>
    <w:p w14:paraId="0E4AA801" w14:textId="77777777" w:rsidR="00570A9F" w:rsidRPr="00570A9F" w:rsidRDefault="00570A9F" w:rsidP="00570A9F">
      <w:pPr>
        <w:pStyle w:val="Sarakstarindkopa"/>
        <w:rPr>
          <w:rFonts w:ascii="Arial" w:hAnsi="Arial" w:cs="Arial"/>
          <w:sz w:val="22"/>
          <w:szCs w:val="22"/>
        </w:rPr>
      </w:pPr>
    </w:p>
    <w:p w14:paraId="611BE642" w14:textId="77777777" w:rsidR="00570A9F" w:rsidRPr="00570A9F" w:rsidRDefault="00570A9F" w:rsidP="00570A9F">
      <w:pPr>
        <w:ind w:left="720"/>
        <w:jc w:val="both"/>
        <w:rPr>
          <w:rFonts w:ascii="Arial" w:hAnsi="Arial" w:cs="Arial"/>
        </w:rPr>
      </w:pPr>
    </w:p>
    <w:p w14:paraId="065D5F27" w14:textId="77777777" w:rsidR="00570A9F" w:rsidRPr="00570A9F" w:rsidRDefault="00570A9F" w:rsidP="00570A9F">
      <w:pPr>
        <w:numPr>
          <w:ilvl w:val="0"/>
          <w:numId w:val="1"/>
        </w:numPr>
        <w:spacing w:after="0" w:line="240" w:lineRule="auto"/>
        <w:ind w:hanging="720"/>
        <w:jc w:val="both"/>
        <w:rPr>
          <w:rFonts w:ascii="Arial" w:hAnsi="Arial" w:cs="Arial"/>
        </w:rPr>
      </w:pPr>
      <w:r w:rsidRPr="00570A9F">
        <w:rPr>
          <w:rFonts w:ascii="Arial" w:hAnsi="Arial" w:cs="Arial"/>
        </w:rPr>
        <w:lastRenderedPageBreak/>
        <w:t>Pilnvarot Dienvidkurzemes novada pašvaldības Finanšu patstāvīgo komiteju lemt par grozījumiem Dienvidkurzemes novada pašvaldības 2021.gada budžeta plānā ieņēmumu un izdevumu tāmēs institūciju apstiprinātā budžeta ietvaros.</w:t>
      </w:r>
    </w:p>
    <w:p w14:paraId="4718013B" w14:textId="77777777" w:rsidR="00570A9F" w:rsidRPr="00570A9F" w:rsidRDefault="00570A9F" w:rsidP="00570A9F">
      <w:pPr>
        <w:pStyle w:val="Sarakstarindkopa"/>
        <w:rPr>
          <w:rFonts w:ascii="Arial" w:hAnsi="Arial" w:cs="Arial"/>
          <w:color w:val="FF0000"/>
          <w:sz w:val="22"/>
          <w:szCs w:val="22"/>
          <w:lang w:eastAsia="lv-LV"/>
        </w:rPr>
      </w:pPr>
    </w:p>
    <w:p w14:paraId="7EF418C2" w14:textId="77777777" w:rsidR="00570A9F" w:rsidRPr="00570A9F" w:rsidRDefault="00570A9F" w:rsidP="00570A9F">
      <w:pPr>
        <w:pStyle w:val="Sarakstarindkopa"/>
        <w:rPr>
          <w:rFonts w:ascii="Arial" w:hAnsi="Arial" w:cs="Arial"/>
          <w:color w:val="FF0000"/>
          <w:sz w:val="22"/>
          <w:szCs w:val="22"/>
          <w:lang w:eastAsia="lv-LV"/>
        </w:rPr>
      </w:pPr>
    </w:p>
    <w:p w14:paraId="7566D2FE" w14:textId="77777777" w:rsidR="00570A9F" w:rsidRPr="00570A9F" w:rsidRDefault="00570A9F" w:rsidP="00570A9F">
      <w:pPr>
        <w:numPr>
          <w:ilvl w:val="0"/>
          <w:numId w:val="1"/>
        </w:numPr>
        <w:spacing w:after="0" w:line="240" w:lineRule="auto"/>
        <w:ind w:hanging="720"/>
        <w:jc w:val="both"/>
        <w:rPr>
          <w:rFonts w:ascii="Arial" w:hAnsi="Arial" w:cs="Arial"/>
        </w:rPr>
      </w:pPr>
      <w:r w:rsidRPr="00570A9F">
        <w:rPr>
          <w:rFonts w:ascii="Arial" w:hAnsi="Arial" w:cs="Arial"/>
        </w:rPr>
        <w:t>Pilnvarot Dienvidkurzemes novada pašvaldības izpilddirektoru Uldi Vārnu ar rīkojumu mainīt pašvaldības administrācijas un pašvaldību iestāžu amatpersonām un darbiniekiem piešķirtos degvielas un mobilo telefonu limitus apstiprinātā budžeta 2021.gadam ietvaros.</w:t>
      </w:r>
    </w:p>
    <w:p w14:paraId="04B958AE" w14:textId="77777777" w:rsidR="00570A9F" w:rsidRPr="00570A9F" w:rsidRDefault="00570A9F" w:rsidP="00570A9F">
      <w:pPr>
        <w:pStyle w:val="Sarakstarindkopa"/>
        <w:rPr>
          <w:rFonts w:ascii="Arial" w:hAnsi="Arial" w:cs="Arial"/>
          <w:sz w:val="22"/>
          <w:szCs w:val="22"/>
        </w:rPr>
      </w:pPr>
    </w:p>
    <w:p w14:paraId="558BCF2B" w14:textId="77777777" w:rsidR="00570A9F" w:rsidRPr="00570A9F" w:rsidRDefault="00570A9F" w:rsidP="00570A9F">
      <w:pPr>
        <w:ind w:left="720"/>
        <w:rPr>
          <w:rFonts w:ascii="Arial" w:hAnsi="Arial" w:cs="Arial"/>
        </w:rPr>
      </w:pPr>
    </w:p>
    <w:p w14:paraId="6F979B28" w14:textId="77777777" w:rsidR="00570A9F" w:rsidRPr="00570A9F" w:rsidRDefault="00570A9F" w:rsidP="00570A9F">
      <w:pPr>
        <w:numPr>
          <w:ilvl w:val="0"/>
          <w:numId w:val="1"/>
        </w:numPr>
        <w:autoSpaceDE w:val="0"/>
        <w:autoSpaceDN w:val="0"/>
        <w:adjustRightInd w:val="0"/>
        <w:spacing w:after="0" w:line="240" w:lineRule="auto"/>
        <w:ind w:hanging="720"/>
        <w:jc w:val="both"/>
        <w:rPr>
          <w:rFonts w:ascii="Arial" w:hAnsi="Arial" w:cs="Arial"/>
        </w:rPr>
      </w:pPr>
      <w:r w:rsidRPr="00570A9F">
        <w:rPr>
          <w:rFonts w:ascii="Arial" w:hAnsi="Arial" w:cs="Arial"/>
        </w:rPr>
        <w:t>Uzdot Dienvidkurzemes novada pašvaldības  Finanšu nodaļai piestādīt pārtērēto piešķirto telefonu limitu rēķinus amatpersonām un darbiniekiem 2021.gada beigās, veicot izlīdzinājumu gada ietvaros.</w:t>
      </w:r>
    </w:p>
    <w:p w14:paraId="26283502" w14:textId="77777777" w:rsidR="00570A9F" w:rsidRPr="00570A9F" w:rsidRDefault="00570A9F" w:rsidP="00570A9F">
      <w:pPr>
        <w:pStyle w:val="Sarakstarindkopa"/>
        <w:rPr>
          <w:rFonts w:ascii="Arial" w:hAnsi="Arial" w:cs="Arial"/>
          <w:sz w:val="22"/>
          <w:szCs w:val="22"/>
        </w:rPr>
      </w:pPr>
    </w:p>
    <w:p w14:paraId="6F8661B8" w14:textId="77777777" w:rsidR="00570A9F" w:rsidRPr="00570A9F" w:rsidRDefault="00570A9F" w:rsidP="00570A9F">
      <w:pPr>
        <w:ind w:left="720"/>
        <w:rPr>
          <w:rFonts w:ascii="Arial" w:hAnsi="Arial" w:cs="Arial"/>
        </w:rPr>
      </w:pPr>
    </w:p>
    <w:p w14:paraId="115FC170" w14:textId="77777777" w:rsidR="00570A9F" w:rsidRPr="00570A9F" w:rsidRDefault="00570A9F" w:rsidP="00570A9F">
      <w:pPr>
        <w:numPr>
          <w:ilvl w:val="0"/>
          <w:numId w:val="1"/>
        </w:numPr>
        <w:autoSpaceDE w:val="0"/>
        <w:autoSpaceDN w:val="0"/>
        <w:adjustRightInd w:val="0"/>
        <w:spacing w:after="0" w:line="240" w:lineRule="auto"/>
        <w:ind w:hanging="720"/>
        <w:jc w:val="both"/>
        <w:rPr>
          <w:rFonts w:ascii="Arial" w:hAnsi="Arial" w:cs="Arial"/>
        </w:rPr>
      </w:pPr>
      <w:r w:rsidRPr="00570A9F">
        <w:rPr>
          <w:rFonts w:ascii="Arial" w:hAnsi="Arial" w:cs="Arial"/>
        </w:rPr>
        <w:t>Saistošie noteikumi par pašvaldības budžeta apstiprināšanu un budžeta grozījumiem stājas spēkā nākamajā dienā pēc to parakstīšanas, ja tajos nav noteikts cits spēkā stāšanās laiks, tiem jābūt brīvi pieejamiem pašvaldības domes ēkā un  pārvaldēs, un tie publicējami pašvaldības mājaslapā internetā.</w:t>
      </w:r>
    </w:p>
    <w:p w14:paraId="218CA740" w14:textId="77777777" w:rsidR="00570A9F" w:rsidRPr="00570A9F" w:rsidRDefault="00570A9F" w:rsidP="00570A9F">
      <w:pPr>
        <w:pStyle w:val="Sarakstarindkopa"/>
        <w:rPr>
          <w:rFonts w:ascii="Arial" w:hAnsi="Arial" w:cs="Arial"/>
          <w:sz w:val="22"/>
          <w:szCs w:val="22"/>
        </w:rPr>
      </w:pPr>
    </w:p>
    <w:p w14:paraId="2BF9199E" w14:textId="77777777" w:rsidR="00570A9F" w:rsidRPr="00570A9F" w:rsidRDefault="00570A9F" w:rsidP="00570A9F">
      <w:pPr>
        <w:spacing w:after="0" w:line="240" w:lineRule="auto"/>
        <w:rPr>
          <w:rFonts w:ascii="Arial" w:hAnsi="Arial" w:cs="Arial"/>
        </w:rPr>
      </w:pPr>
      <w:r w:rsidRPr="00570A9F">
        <w:rPr>
          <w:rFonts w:ascii="Arial" w:hAnsi="Arial" w:cs="Arial"/>
        </w:rPr>
        <w:t xml:space="preserve">Dienvidkurzemes   novada </w:t>
      </w:r>
    </w:p>
    <w:p w14:paraId="0E58944C" w14:textId="6E9926C7" w:rsidR="00570A9F" w:rsidRPr="00570A9F" w:rsidRDefault="00570A9F" w:rsidP="00570A9F">
      <w:pPr>
        <w:spacing w:after="0" w:line="240" w:lineRule="auto"/>
        <w:rPr>
          <w:rFonts w:ascii="Arial" w:hAnsi="Arial" w:cs="Arial"/>
        </w:rPr>
      </w:pPr>
      <w:r w:rsidRPr="00570A9F">
        <w:rPr>
          <w:rFonts w:ascii="Arial" w:hAnsi="Arial" w:cs="Arial"/>
        </w:rPr>
        <w:t>p</w:t>
      </w:r>
      <w:r w:rsidRPr="00570A9F">
        <w:rPr>
          <w:rFonts w:ascii="Arial" w:hAnsi="Arial" w:cs="Arial"/>
        </w:rPr>
        <w:t xml:space="preserve">ašvaldības domes  priekšsēdētājs:    </w:t>
      </w:r>
      <w:r w:rsidRPr="00570A9F">
        <w:rPr>
          <w:rFonts w:ascii="Arial" w:eastAsia="Times New Roman" w:hAnsi="Arial" w:cs="Arial"/>
        </w:rPr>
        <w:t>(paraksts*)</w:t>
      </w:r>
      <w:r w:rsidRPr="00570A9F">
        <w:rPr>
          <w:rFonts w:ascii="Arial" w:hAnsi="Arial" w:cs="Arial"/>
        </w:rPr>
        <w:t xml:space="preserve">                                 </w:t>
      </w:r>
      <w:proofErr w:type="spellStart"/>
      <w:r w:rsidRPr="00570A9F">
        <w:rPr>
          <w:rFonts w:ascii="Arial" w:hAnsi="Arial" w:cs="Arial"/>
        </w:rPr>
        <w:t>A.Priedols</w:t>
      </w:r>
      <w:proofErr w:type="spellEnd"/>
      <w:r w:rsidRPr="00570A9F">
        <w:rPr>
          <w:rFonts w:ascii="Arial" w:hAnsi="Arial" w:cs="Arial"/>
        </w:rPr>
        <w:t xml:space="preserve">                                                                       </w:t>
      </w:r>
    </w:p>
    <w:p w14:paraId="773DEF8A" w14:textId="77777777" w:rsidR="00570A9F" w:rsidRPr="00570A9F" w:rsidRDefault="00570A9F" w:rsidP="00570A9F">
      <w:pPr>
        <w:jc w:val="center"/>
        <w:rPr>
          <w:rFonts w:ascii="Arial" w:hAnsi="Arial" w:cs="Arial"/>
          <w:b/>
          <w:bCs/>
        </w:rPr>
      </w:pPr>
    </w:p>
    <w:p w14:paraId="1E1B695C" w14:textId="7872D03D" w:rsidR="00570A9F" w:rsidRDefault="00570A9F" w:rsidP="00570A9F">
      <w:pPr>
        <w:jc w:val="center"/>
        <w:rPr>
          <w:rFonts w:ascii="Arial" w:hAnsi="Arial" w:cs="Arial"/>
          <w:b/>
          <w:bCs/>
        </w:rPr>
      </w:pPr>
    </w:p>
    <w:p w14:paraId="67AB9AA9" w14:textId="3D5931D1" w:rsidR="00570A9F" w:rsidRDefault="00570A9F" w:rsidP="00570A9F">
      <w:pPr>
        <w:jc w:val="center"/>
        <w:rPr>
          <w:rFonts w:ascii="Arial" w:hAnsi="Arial" w:cs="Arial"/>
          <w:b/>
          <w:bCs/>
        </w:rPr>
      </w:pPr>
    </w:p>
    <w:p w14:paraId="21D8F266" w14:textId="1AD7F3DF" w:rsidR="00570A9F" w:rsidRDefault="00570A9F" w:rsidP="00570A9F">
      <w:pPr>
        <w:jc w:val="center"/>
        <w:rPr>
          <w:rFonts w:ascii="Arial" w:hAnsi="Arial" w:cs="Arial"/>
          <w:b/>
          <w:bCs/>
        </w:rPr>
      </w:pPr>
    </w:p>
    <w:p w14:paraId="69B36A0E" w14:textId="22F89632" w:rsidR="00570A9F" w:rsidRDefault="00570A9F" w:rsidP="00570A9F">
      <w:pPr>
        <w:jc w:val="center"/>
        <w:rPr>
          <w:rFonts w:ascii="Arial" w:hAnsi="Arial" w:cs="Arial"/>
          <w:b/>
          <w:bCs/>
        </w:rPr>
      </w:pPr>
    </w:p>
    <w:p w14:paraId="35A6C05A" w14:textId="592DFB69" w:rsidR="00570A9F" w:rsidRDefault="00570A9F" w:rsidP="00570A9F">
      <w:pPr>
        <w:jc w:val="center"/>
        <w:rPr>
          <w:rFonts w:ascii="Arial" w:hAnsi="Arial" w:cs="Arial"/>
          <w:b/>
          <w:bCs/>
        </w:rPr>
      </w:pPr>
    </w:p>
    <w:p w14:paraId="5412C642" w14:textId="6F4CA705" w:rsidR="00570A9F" w:rsidRDefault="00570A9F" w:rsidP="00570A9F">
      <w:pPr>
        <w:jc w:val="center"/>
        <w:rPr>
          <w:rFonts w:ascii="Arial" w:hAnsi="Arial" w:cs="Arial"/>
          <w:b/>
          <w:bCs/>
        </w:rPr>
      </w:pPr>
    </w:p>
    <w:p w14:paraId="6AB04ADF" w14:textId="0835481F" w:rsidR="00570A9F" w:rsidRDefault="00570A9F" w:rsidP="00570A9F">
      <w:pPr>
        <w:jc w:val="center"/>
        <w:rPr>
          <w:rFonts w:ascii="Arial" w:hAnsi="Arial" w:cs="Arial"/>
          <w:b/>
          <w:bCs/>
        </w:rPr>
      </w:pPr>
    </w:p>
    <w:p w14:paraId="7F1C9171" w14:textId="0604A77F" w:rsidR="00570A9F" w:rsidRDefault="00570A9F" w:rsidP="00570A9F">
      <w:pPr>
        <w:jc w:val="center"/>
        <w:rPr>
          <w:rFonts w:ascii="Arial" w:hAnsi="Arial" w:cs="Arial"/>
          <w:b/>
          <w:bCs/>
        </w:rPr>
      </w:pPr>
    </w:p>
    <w:p w14:paraId="7B9A67F5" w14:textId="6D932460" w:rsidR="00570A9F" w:rsidRDefault="00570A9F" w:rsidP="00570A9F">
      <w:pPr>
        <w:jc w:val="center"/>
        <w:rPr>
          <w:rFonts w:ascii="Arial" w:hAnsi="Arial" w:cs="Arial"/>
          <w:b/>
          <w:bCs/>
        </w:rPr>
      </w:pPr>
    </w:p>
    <w:p w14:paraId="40E7792D" w14:textId="0B208865" w:rsidR="00570A9F" w:rsidRDefault="00570A9F" w:rsidP="00570A9F">
      <w:pPr>
        <w:jc w:val="center"/>
        <w:rPr>
          <w:rFonts w:ascii="Arial" w:hAnsi="Arial" w:cs="Arial"/>
          <w:b/>
          <w:bCs/>
        </w:rPr>
      </w:pPr>
    </w:p>
    <w:p w14:paraId="7A1D4462" w14:textId="4FD55E8F" w:rsidR="00570A9F" w:rsidRDefault="00570A9F" w:rsidP="00570A9F">
      <w:pPr>
        <w:jc w:val="center"/>
        <w:rPr>
          <w:rFonts w:ascii="Arial" w:hAnsi="Arial" w:cs="Arial"/>
          <w:b/>
          <w:bCs/>
        </w:rPr>
      </w:pPr>
    </w:p>
    <w:p w14:paraId="479970A3" w14:textId="6482EB23" w:rsidR="00570A9F" w:rsidRDefault="00570A9F" w:rsidP="00570A9F">
      <w:pPr>
        <w:jc w:val="center"/>
        <w:rPr>
          <w:rFonts w:ascii="Arial" w:hAnsi="Arial" w:cs="Arial"/>
          <w:b/>
          <w:bCs/>
        </w:rPr>
      </w:pPr>
    </w:p>
    <w:p w14:paraId="0D839A53" w14:textId="0CC41841" w:rsidR="00570A9F" w:rsidRDefault="00570A9F" w:rsidP="00570A9F">
      <w:pPr>
        <w:jc w:val="center"/>
        <w:rPr>
          <w:rFonts w:ascii="Arial" w:hAnsi="Arial" w:cs="Arial"/>
          <w:b/>
          <w:bCs/>
        </w:rPr>
      </w:pPr>
    </w:p>
    <w:p w14:paraId="59E32EA2" w14:textId="77777777" w:rsidR="00570A9F" w:rsidRPr="00570A9F" w:rsidRDefault="00570A9F" w:rsidP="00570A9F">
      <w:pPr>
        <w:jc w:val="center"/>
        <w:rPr>
          <w:rFonts w:ascii="Arial" w:hAnsi="Arial" w:cs="Arial"/>
          <w:b/>
          <w:bCs/>
        </w:rPr>
      </w:pPr>
    </w:p>
    <w:p w14:paraId="1CA5BB60" w14:textId="77777777" w:rsidR="00570A9F" w:rsidRPr="00570A9F" w:rsidRDefault="00570A9F" w:rsidP="00570A9F">
      <w:pPr>
        <w:jc w:val="center"/>
        <w:rPr>
          <w:rFonts w:ascii="Arial" w:hAnsi="Arial" w:cs="Arial"/>
          <w:b/>
          <w:bCs/>
        </w:rPr>
      </w:pPr>
    </w:p>
    <w:p w14:paraId="1D121A42" w14:textId="77777777" w:rsidR="00570A9F" w:rsidRPr="00570A9F" w:rsidRDefault="00570A9F" w:rsidP="00570A9F">
      <w:pPr>
        <w:jc w:val="center"/>
        <w:rPr>
          <w:rFonts w:ascii="Arial" w:hAnsi="Arial" w:cs="Arial"/>
          <w:b/>
          <w:bCs/>
        </w:rPr>
      </w:pPr>
      <w:r w:rsidRPr="00570A9F">
        <w:rPr>
          <w:rFonts w:ascii="Arial" w:hAnsi="Arial" w:cs="Arial"/>
          <w:b/>
          <w:bCs/>
        </w:rPr>
        <w:t>Paskaidrojuma raksts</w:t>
      </w:r>
    </w:p>
    <w:p w14:paraId="5A861B49" w14:textId="77777777" w:rsidR="00570A9F" w:rsidRPr="00570A9F" w:rsidRDefault="00570A9F" w:rsidP="00570A9F">
      <w:pPr>
        <w:jc w:val="center"/>
        <w:rPr>
          <w:rFonts w:ascii="Arial" w:hAnsi="Arial" w:cs="Arial"/>
          <w:b/>
          <w:bCs/>
        </w:rPr>
      </w:pPr>
      <w:r w:rsidRPr="00570A9F">
        <w:rPr>
          <w:rFonts w:ascii="Arial" w:hAnsi="Arial" w:cs="Arial"/>
          <w:b/>
          <w:bCs/>
        </w:rPr>
        <w:t>Grobiņas novada pašvaldības 2021.gada budžetam</w:t>
      </w:r>
    </w:p>
    <w:p w14:paraId="65D19A08" w14:textId="77777777" w:rsidR="00570A9F" w:rsidRPr="00570A9F" w:rsidRDefault="00570A9F" w:rsidP="00570A9F">
      <w:pPr>
        <w:ind w:firstLine="720"/>
        <w:jc w:val="both"/>
        <w:rPr>
          <w:rFonts w:ascii="Arial" w:hAnsi="Arial" w:cs="Arial"/>
        </w:rPr>
      </w:pPr>
    </w:p>
    <w:p w14:paraId="350F0EEE" w14:textId="77777777" w:rsidR="00570A9F" w:rsidRPr="00570A9F" w:rsidRDefault="00570A9F" w:rsidP="00570A9F">
      <w:pPr>
        <w:ind w:firstLine="720"/>
        <w:jc w:val="both"/>
        <w:rPr>
          <w:rFonts w:ascii="Arial" w:hAnsi="Arial" w:cs="Arial"/>
        </w:rPr>
      </w:pPr>
      <w:r w:rsidRPr="00570A9F">
        <w:rPr>
          <w:rFonts w:ascii="Arial" w:hAnsi="Arial" w:cs="Arial"/>
        </w:rPr>
        <w:t xml:space="preserve">Dienvidkurzemes novada pašvaldība visus pieejamos resursus velta vietējās sabiedrības attīstībai, tekošās situācijas risināšanai un nākotnes plānu un ieceru realizācijai. </w:t>
      </w:r>
    </w:p>
    <w:p w14:paraId="1DBC9B20" w14:textId="77777777" w:rsidR="00570A9F" w:rsidRPr="00570A9F" w:rsidRDefault="00570A9F" w:rsidP="00570A9F">
      <w:pPr>
        <w:ind w:firstLine="720"/>
        <w:jc w:val="both"/>
        <w:rPr>
          <w:rFonts w:ascii="Arial" w:hAnsi="Arial" w:cs="Arial"/>
        </w:rPr>
      </w:pPr>
      <w:r w:rsidRPr="00570A9F">
        <w:rPr>
          <w:rFonts w:ascii="Arial" w:hAnsi="Arial" w:cs="Arial"/>
        </w:rPr>
        <w:t xml:space="preserve">Dienvidkurzemes novada pašvaldībā  notiek intensīva dzīvojamās un darījumu teritorijas attīstība, bet vienlaikus saglabājas lauksaimniecība un lauku ainava. </w:t>
      </w:r>
    </w:p>
    <w:p w14:paraId="6797EC38" w14:textId="77777777" w:rsidR="00570A9F" w:rsidRPr="00570A9F" w:rsidRDefault="00570A9F" w:rsidP="00570A9F">
      <w:pPr>
        <w:ind w:firstLine="720"/>
        <w:jc w:val="both"/>
        <w:rPr>
          <w:rFonts w:ascii="Arial" w:hAnsi="Arial" w:cs="Arial"/>
        </w:rPr>
      </w:pPr>
      <w:r w:rsidRPr="00570A9F">
        <w:rPr>
          <w:rFonts w:ascii="Arial" w:hAnsi="Arial" w:cs="Arial"/>
        </w:rPr>
        <w:t xml:space="preserve">Dienvidkurzemes novada pašvaldībā   uz 2021.gada 1.jūliju ir 33 312 iedzīvotāji. Vairāku gadu griezumā novērojams, ka iedzīvotāju skaita izmaiņām Dienvidkurzemes novada pašvaldībā    ir novērojama </w:t>
      </w:r>
      <w:proofErr w:type="spellStart"/>
      <w:r w:rsidRPr="00570A9F">
        <w:rPr>
          <w:rFonts w:ascii="Arial" w:hAnsi="Arial" w:cs="Arial"/>
        </w:rPr>
        <w:t>lejupslīdoša</w:t>
      </w:r>
      <w:proofErr w:type="spellEnd"/>
      <w:r w:rsidRPr="00570A9F">
        <w:rPr>
          <w:rFonts w:ascii="Arial" w:hAnsi="Arial" w:cs="Arial"/>
        </w:rPr>
        <w:t xml:space="preserve"> tendence.</w:t>
      </w:r>
    </w:p>
    <w:p w14:paraId="4A4E1921" w14:textId="77777777" w:rsidR="00570A9F" w:rsidRPr="00570A9F" w:rsidRDefault="00570A9F" w:rsidP="00570A9F">
      <w:pPr>
        <w:ind w:firstLine="720"/>
        <w:jc w:val="both"/>
        <w:rPr>
          <w:rFonts w:ascii="Arial" w:hAnsi="Arial" w:cs="Arial"/>
        </w:rPr>
      </w:pPr>
      <w:r w:rsidRPr="00570A9F">
        <w:rPr>
          <w:rFonts w:ascii="Arial" w:hAnsi="Arial" w:cs="Arial"/>
        </w:rPr>
        <w:t>Pašvaldības darbības finansiālo pamatu veido budžets, kas ir svarīgākais instruments pašvaldības autonomo funkciju izpildes nodrošināšanai, ekonomisko un sociālo vajadzību sabalansēšanai, kā arī teritorijas ilgtermiņa attīstībai.</w:t>
      </w:r>
    </w:p>
    <w:p w14:paraId="3126D956" w14:textId="77777777" w:rsidR="00570A9F" w:rsidRPr="00570A9F" w:rsidRDefault="00570A9F" w:rsidP="00570A9F">
      <w:pPr>
        <w:ind w:firstLine="720"/>
        <w:jc w:val="both"/>
        <w:rPr>
          <w:rFonts w:ascii="Arial" w:hAnsi="Arial" w:cs="Arial"/>
        </w:rPr>
      </w:pPr>
      <w:bookmarkStart w:id="0" w:name="_Hlk80703269"/>
      <w:r w:rsidRPr="00570A9F">
        <w:rPr>
          <w:rFonts w:ascii="Arial" w:hAnsi="Arial" w:cs="Arial"/>
        </w:rPr>
        <w:t xml:space="preserve">Dienvidkurzemes novada  pašvaldības budžets </w:t>
      </w:r>
      <w:bookmarkEnd w:id="0"/>
      <w:r w:rsidRPr="00570A9F">
        <w:rPr>
          <w:rFonts w:ascii="Arial" w:hAnsi="Arial" w:cs="Arial"/>
        </w:rPr>
        <w:t xml:space="preserve">2021.gadam sastāv no pamatbudžeta, ko veido attiecīgas ieņēmumu un izdevumu daļas. Pašvaldība ir ņēmusi vērā visu nozaru intereses un centusies sabalansēt pieejamos finanšu līdzekļus tā, lai nodrošinātu uzlabojumus sabiedrībai svarīgās jomās. </w:t>
      </w:r>
    </w:p>
    <w:p w14:paraId="3A6C839F" w14:textId="77777777" w:rsidR="00570A9F" w:rsidRPr="00570A9F" w:rsidRDefault="00570A9F" w:rsidP="00570A9F">
      <w:pPr>
        <w:ind w:firstLine="720"/>
        <w:jc w:val="both"/>
        <w:rPr>
          <w:rFonts w:ascii="Arial" w:hAnsi="Arial" w:cs="Arial"/>
        </w:rPr>
      </w:pPr>
      <w:r w:rsidRPr="00570A9F">
        <w:rPr>
          <w:rFonts w:ascii="Arial" w:hAnsi="Arial" w:cs="Arial"/>
        </w:rPr>
        <w:t xml:space="preserve">Budžets sastādīts saistībā ar pašvaldību reformu, pamatojoties uz apvienoto novadu gada plānu datiem, nodrošinot budžeta sabalansētību. </w:t>
      </w:r>
    </w:p>
    <w:p w14:paraId="70023A42" w14:textId="77777777" w:rsidR="00570A9F" w:rsidRPr="00570A9F" w:rsidRDefault="00570A9F" w:rsidP="00570A9F">
      <w:pPr>
        <w:ind w:firstLine="720"/>
        <w:jc w:val="both"/>
        <w:rPr>
          <w:rFonts w:ascii="Arial" w:hAnsi="Arial" w:cs="Arial"/>
        </w:rPr>
      </w:pPr>
      <w:r w:rsidRPr="00570A9F">
        <w:rPr>
          <w:rFonts w:ascii="Arial" w:hAnsi="Arial" w:cs="Arial"/>
        </w:rPr>
        <w:t>Par budžeta prioritārajām jomām 2021.gadā ir noteikta sabiedriskās infrastruktūras uzlabošana, kā arī spēja nodrošināt pašvaldības finanšu stabilitāti ilgtermiņā.</w:t>
      </w:r>
    </w:p>
    <w:p w14:paraId="2081EB77" w14:textId="77777777" w:rsidR="00570A9F" w:rsidRPr="00570A9F" w:rsidRDefault="00570A9F" w:rsidP="00570A9F">
      <w:pPr>
        <w:ind w:firstLine="720"/>
        <w:jc w:val="both"/>
        <w:rPr>
          <w:rFonts w:ascii="Arial" w:hAnsi="Arial" w:cs="Arial"/>
        </w:rPr>
      </w:pPr>
      <w:r w:rsidRPr="00570A9F">
        <w:rPr>
          <w:rFonts w:ascii="Arial" w:hAnsi="Arial" w:cs="Arial"/>
        </w:rPr>
        <w:t>Skaitliskā informācija par budžeta ieņēmumiem un izdevumiem un budžeta klasifikāciju ir norādīta 26.08.2021. Dienvidkurzemes novada  pašvaldības saistošajos noteikumos nr.4 “Par 2021.gada budžeta plānu” un to pielikumos.</w:t>
      </w:r>
    </w:p>
    <w:p w14:paraId="333306E1" w14:textId="77777777" w:rsidR="00570A9F" w:rsidRPr="00570A9F" w:rsidRDefault="00570A9F" w:rsidP="00570A9F">
      <w:pPr>
        <w:ind w:firstLine="720"/>
        <w:jc w:val="both"/>
        <w:rPr>
          <w:rFonts w:ascii="Arial" w:hAnsi="Arial" w:cs="Arial"/>
        </w:rPr>
      </w:pPr>
      <w:r w:rsidRPr="00570A9F">
        <w:rPr>
          <w:rFonts w:ascii="Arial" w:hAnsi="Arial" w:cs="Arial"/>
        </w:rPr>
        <w:t>Dienvidkurzemes novada  pašvaldības budžets  2021.gada budžets izstrādāts atbilstoši likuma „Par budžetu un finanšu vadību”, likuma „Par pašvaldību budžetiem”, likuma „Par pašvaldībām”, likuma „Valsts un pašvaldību amatpersonu un darbinieku atlīdzības likums” un citu likumu un normatīvo aktu prasībām.</w:t>
      </w:r>
    </w:p>
    <w:p w14:paraId="479BA6A0" w14:textId="77777777" w:rsidR="00570A9F" w:rsidRPr="00570A9F" w:rsidRDefault="00570A9F" w:rsidP="00570A9F">
      <w:pPr>
        <w:ind w:firstLine="720"/>
        <w:jc w:val="center"/>
        <w:rPr>
          <w:rFonts w:ascii="Arial" w:hAnsi="Arial" w:cs="Arial"/>
          <w:b/>
          <w:bCs/>
        </w:rPr>
      </w:pPr>
    </w:p>
    <w:p w14:paraId="39542D81" w14:textId="77777777" w:rsidR="00570A9F" w:rsidRPr="00570A9F" w:rsidRDefault="00570A9F" w:rsidP="00570A9F">
      <w:pPr>
        <w:ind w:firstLine="720"/>
        <w:jc w:val="center"/>
        <w:rPr>
          <w:rFonts w:ascii="Arial" w:hAnsi="Arial" w:cs="Arial"/>
        </w:rPr>
      </w:pPr>
      <w:r w:rsidRPr="00570A9F">
        <w:rPr>
          <w:rFonts w:ascii="Arial" w:hAnsi="Arial" w:cs="Arial"/>
          <w:b/>
          <w:bCs/>
        </w:rPr>
        <w:t>Pamatbudžeta ieņēmumi</w:t>
      </w:r>
    </w:p>
    <w:p w14:paraId="6D627E7C" w14:textId="77777777" w:rsidR="00570A9F" w:rsidRPr="00570A9F" w:rsidRDefault="00570A9F" w:rsidP="00570A9F">
      <w:pPr>
        <w:ind w:firstLine="720"/>
        <w:jc w:val="center"/>
        <w:rPr>
          <w:rFonts w:ascii="Arial" w:hAnsi="Arial" w:cs="Arial"/>
        </w:rPr>
      </w:pPr>
    </w:p>
    <w:p w14:paraId="769B45F7" w14:textId="77777777" w:rsidR="00570A9F" w:rsidRPr="00570A9F" w:rsidRDefault="00570A9F" w:rsidP="00570A9F">
      <w:pPr>
        <w:ind w:firstLine="720"/>
        <w:jc w:val="both"/>
        <w:rPr>
          <w:rFonts w:ascii="Arial" w:hAnsi="Arial" w:cs="Arial"/>
        </w:rPr>
      </w:pPr>
      <w:r w:rsidRPr="00570A9F">
        <w:rPr>
          <w:rFonts w:ascii="Arial" w:hAnsi="Arial" w:cs="Arial"/>
        </w:rPr>
        <w:t xml:space="preserve">Pamatbudžeta ieņēmumi plānoti 47 492 934 EUR kopsummā, un tos veido nodokļu ieņēmumi, </w:t>
      </w:r>
      <w:proofErr w:type="spellStart"/>
      <w:r w:rsidRPr="00570A9F">
        <w:rPr>
          <w:rFonts w:ascii="Arial" w:hAnsi="Arial" w:cs="Arial"/>
        </w:rPr>
        <w:t>nenodokļu</w:t>
      </w:r>
      <w:proofErr w:type="spellEnd"/>
      <w:r w:rsidRPr="00570A9F">
        <w:rPr>
          <w:rFonts w:ascii="Arial" w:hAnsi="Arial" w:cs="Arial"/>
        </w:rPr>
        <w:t xml:space="preserve"> ieņēmumi (no uzņēmējdarbības un īpašuma, nodevām, naudas sodiem), </w:t>
      </w:r>
      <w:r w:rsidRPr="00570A9F">
        <w:rPr>
          <w:rFonts w:ascii="Arial" w:hAnsi="Arial" w:cs="Arial"/>
        </w:rPr>
        <w:lastRenderedPageBreak/>
        <w:t xml:space="preserve">ieņēmumi no iestāžu sniegtajiem maksas pakalpojumiem un citi ieņēmumi, kā arī </w:t>
      </w:r>
      <w:proofErr w:type="spellStart"/>
      <w:r w:rsidRPr="00570A9F">
        <w:rPr>
          <w:rFonts w:ascii="Arial" w:hAnsi="Arial" w:cs="Arial"/>
        </w:rPr>
        <w:t>transferti</w:t>
      </w:r>
      <w:proofErr w:type="spellEnd"/>
      <w:r w:rsidRPr="00570A9F">
        <w:rPr>
          <w:rFonts w:ascii="Arial" w:hAnsi="Arial" w:cs="Arial"/>
        </w:rPr>
        <w:t xml:space="preserve"> (mērķdotācijas, kas tiek saņemtas no atsevišķām ministrijām un pašvaldībām, un paredzētas galvenokārt pedagogu darba samaksai, kā arī ES fondu finansēto projektu īstenošanai un pašvaldību maksājumiem par izglītības pakalpojumiem).</w:t>
      </w:r>
    </w:p>
    <w:p w14:paraId="3DD81CBA" w14:textId="77777777" w:rsidR="00570A9F" w:rsidRPr="00570A9F" w:rsidRDefault="00570A9F" w:rsidP="00570A9F">
      <w:pPr>
        <w:ind w:firstLine="720"/>
        <w:jc w:val="both"/>
        <w:rPr>
          <w:rFonts w:ascii="Arial" w:hAnsi="Arial" w:cs="Arial"/>
        </w:rPr>
      </w:pPr>
      <w:r w:rsidRPr="00570A9F">
        <w:rPr>
          <w:rFonts w:ascii="Arial" w:hAnsi="Arial" w:cs="Arial"/>
        </w:rPr>
        <w:t>Pašvaldības pamatbudžeta kontu un kases atlikums uz gada sākumu  bija 8 440 124 EUR,</w:t>
      </w:r>
    </w:p>
    <w:p w14:paraId="26D2D91F" w14:textId="77777777" w:rsidR="00570A9F" w:rsidRPr="00570A9F" w:rsidRDefault="00570A9F" w:rsidP="00570A9F">
      <w:pPr>
        <w:jc w:val="both"/>
        <w:rPr>
          <w:rFonts w:ascii="Arial" w:hAnsi="Arial" w:cs="Arial"/>
        </w:rPr>
      </w:pPr>
      <w:r w:rsidRPr="00570A9F">
        <w:rPr>
          <w:rFonts w:ascii="Arial" w:hAnsi="Arial" w:cs="Arial"/>
        </w:rPr>
        <w:t>pašvaldības pamatbudžeta kontu un kases atlikums uz perioda beigām ir 9 107 383 EUR</w:t>
      </w:r>
    </w:p>
    <w:p w14:paraId="01E05408" w14:textId="77777777" w:rsidR="00570A9F" w:rsidRPr="00570A9F" w:rsidRDefault="00570A9F" w:rsidP="00570A9F">
      <w:pPr>
        <w:ind w:firstLine="720"/>
        <w:jc w:val="both"/>
        <w:rPr>
          <w:rFonts w:ascii="Arial" w:hAnsi="Arial" w:cs="Arial"/>
        </w:rPr>
      </w:pPr>
    </w:p>
    <w:p w14:paraId="16045B40" w14:textId="77777777" w:rsidR="00570A9F" w:rsidRPr="00570A9F" w:rsidRDefault="00570A9F" w:rsidP="00570A9F">
      <w:pPr>
        <w:ind w:firstLine="720"/>
        <w:jc w:val="center"/>
        <w:rPr>
          <w:rFonts w:ascii="Arial" w:hAnsi="Arial" w:cs="Arial"/>
          <w:b/>
          <w:bCs/>
          <w:u w:val="single"/>
        </w:rPr>
      </w:pPr>
    </w:p>
    <w:p w14:paraId="402D5D66" w14:textId="77777777" w:rsidR="00570A9F" w:rsidRPr="00570A9F" w:rsidRDefault="00570A9F" w:rsidP="00570A9F">
      <w:pPr>
        <w:ind w:firstLine="720"/>
        <w:jc w:val="center"/>
        <w:rPr>
          <w:rFonts w:ascii="Arial" w:hAnsi="Arial" w:cs="Arial"/>
          <w:b/>
          <w:bCs/>
          <w:u w:val="single"/>
        </w:rPr>
      </w:pPr>
    </w:p>
    <w:p w14:paraId="2764F6E9" w14:textId="77777777" w:rsidR="00570A9F" w:rsidRPr="00570A9F" w:rsidRDefault="00570A9F" w:rsidP="00570A9F">
      <w:pPr>
        <w:ind w:firstLine="720"/>
        <w:jc w:val="center"/>
        <w:rPr>
          <w:rFonts w:ascii="Arial" w:hAnsi="Arial" w:cs="Arial"/>
          <w:b/>
          <w:bCs/>
          <w:u w:val="single"/>
        </w:rPr>
      </w:pPr>
    </w:p>
    <w:p w14:paraId="67610EDA" w14:textId="77777777" w:rsidR="00570A9F" w:rsidRPr="00570A9F" w:rsidRDefault="00570A9F" w:rsidP="00570A9F">
      <w:pPr>
        <w:ind w:firstLine="720"/>
        <w:jc w:val="center"/>
        <w:rPr>
          <w:rFonts w:ascii="Arial" w:hAnsi="Arial" w:cs="Arial"/>
          <w:b/>
          <w:bCs/>
          <w:color w:val="FF0000"/>
          <w:u w:val="single"/>
        </w:rPr>
      </w:pPr>
      <w:r w:rsidRPr="00570A9F">
        <w:rPr>
          <w:rFonts w:ascii="Arial" w:hAnsi="Arial" w:cs="Arial"/>
          <w:b/>
          <w:bCs/>
          <w:u w:val="single"/>
        </w:rPr>
        <w:t>Ieņēmumi- 2021.gada plāns</w:t>
      </w:r>
    </w:p>
    <w:p w14:paraId="1183A29B" w14:textId="77777777" w:rsidR="00570A9F" w:rsidRPr="00570A9F" w:rsidRDefault="00570A9F" w:rsidP="00570A9F">
      <w:pPr>
        <w:ind w:firstLine="720"/>
        <w:jc w:val="center"/>
        <w:rPr>
          <w:rFonts w:ascii="Arial" w:hAnsi="Arial" w:cs="Arial"/>
          <w:b/>
          <w:color w:val="FF0000"/>
        </w:rPr>
      </w:pPr>
    </w:p>
    <w:p w14:paraId="0201CCE2" w14:textId="77777777" w:rsidR="00570A9F" w:rsidRPr="00570A9F" w:rsidRDefault="00570A9F" w:rsidP="00570A9F">
      <w:pPr>
        <w:ind w:firstLine="720"/>
        <w:jc w:val="center"/>
        <w:rPr>
          <w:rFonts w:ascii="Arial" w:hAnsi="Arial" w:cs="Arial"/>
          <w:b/>
          <w:color w:val="FF0000"/>
        </w:rPr>
      </w:pPr>
    </w:p>
    <w:p w14:paraId="1A1DB2E6" w14:textId="77777777" w:rsidR="00570A9F" w:rsidRPr="00570A9F" w:rsidRDefault="00570A9F" w:rsidP="00570A9F">
      <w:pPr>
        <w:ind w:firstLine="720"/>
        <w:jc w:val="center"/>
        <w:rPr>
          <w:rFonts w:ascii="Arial" w:hAnsi="Arial" w:cs="Arial"/>
          <w:b/>
          <w:color w:val="FF0000"/>
        </w:rPr>
      </w:pPr>
    </w:p>
    <w:tbl>
      <w:tblPr>
        <w:tblW w:w="8784" w:type="dxa"/>
        <w:tblLook w:val="04A0" w:firstRow="1" w:lastRow="0" w:firstColumn="1" w:lastColumn="0" w:noHBand="0" w:noVBand="1"/>
      </w:tblPr>
      <w:tblGrid>
        <w:gridCol w:w="1136"/>
        <w:gridCol w:w="1196"/>
        <w:gridCol w:w="896"/>
        <w:gridCol w:w="776"/>
        <w:gridCol w:w="816"/>
        <w:gridCol w:w="836"/>
        <w:gridCol w:w="836"/>
        <w:gridCol w:w="1156"/>
        <w:gridCol w:w="1136"/>
      </w:tblGrid>
      <w:tr w:rsidR="00570A9F" w:rsidRPr="00570A9F" w14:paraId="4B5DCE73" w14:textId="77777777" w:rsidTr="00E24F0F">
        <w:trPr>
          <w:trHeight w:val="492"/>
        </w:trPr>
        <w:tc>
          <w:tcPr>
            <w:tcW w:w="1136" w:type="dxa"/>
            <w:tcBorders>
              <w:top w:val="nil"/>
              <w:left w:val="nil"/>
              <w:bottom w:val="nil"/>
              <w:right w:val="nil"/>
            </w:tcBorders>
            <w:shd w:val="clear" w:color="auto" w:fill="auto"/>
            <w:noWrap/>
            <w:vAlign w:val="bottom"/>
            <w:hideMark/>
          </w:tcPr>
          <w:p w14:paraId="0064EF43"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3B3B8F51" w14:textId="77777777" w:rsidR="00570A9F" w:rsidRPr="00570A9F" w:rsidRDefault="00570A9F" w:rsidP="00E24F0F">
            <w:pPr>
              <w:rPr>
                <w:rFonts w:ascii="Arial" w:hAnsi="Arial" w:cs="Arial"/>
                <w:color w:val="000000"/>
              </w:rPr>
            </w:pPr>
            <w:r w:rsidRPr="00570A9F">
              <w:rPr>
                <w:rFonts w:ascii="Arial" w:hAnsi="Arial" w:cs="Arial"/>
                <w:noProof/>
                <w:color w:val="000000"/>
              </w:rPr>
              <w:drawing>
                <wp:anchor distT="0" distB="0" distL="114300" distR="114300" simplePos="0" relativeHeight="251659264" behindDoc="0" locked="0" layoutInCell="1" allowOverlap="1" wp14:anchorId="7B8DB2E9" wp14:editId="061581D2">
                  <wp:simplePos x="0" y="0"/>
                  <wp:positionH relativeFrom="column">
                    <wp:posOffset>7620</wp:posOffset>
                  </wp:positionH>
                  <wp:positionV relativeFrom="paragraph">
                    <wp:posOffset>-167640</wp:posOffset>
                  </wp:positionV>
                  <wp:extent cx="4488180" cy="2987040"/>
                  <wp:effectExtent l="0" t="0" r="7620" b="3810"/>
                  <wp:wrapNone/>
                  <wp:docPr id="32401176" name="Diagramma 32401176">
                    <a:extLst xmlns:a="http://schemas.openxmlformats.org/drawingml/2006/main">
                      <a:ext uri="{FF2B5EF4-FFF2-40B4-BE49-F238E27FC236}">
                        <a16:creationId xmlns:a16="http://schemas.microsoft.com/office/drawing/2014/main" id="{08EC6B51-332D-4C11-BBA0-4C63B9218ED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0"/>
            </w:tblGrid>
            <w:tr w:rsidR="00570A9F" w:rsidRPr="00570A9F" w14:paraId="54F2568B" w14:textId="77777777" w:rsidTr="00E24F0F">
              <w:trPr>
                <w:trHeight w:val="492"/>
                <w:tblCellSpacing w:w="0" w:type="dxa"/>
              </w:trPr>
              <w:tc>
                <w:tcPr>
                  <w:tcW w:w="980" w:type="dxa"/>
                  <w:tcBorders>
                    <w:top w:val="nil"/>
                    <w:left w:val="nil"/>
                    <w:bottom w:val="nil"/>
                    <w:right w:val="nil"/>
                  </w:tcBorders>
                  <w:shd w:val="clear" w:color="auto" w:fill="auto"/>
                  <w:noWrap/>
                  <w:vAlign w:val="bottom"/>
                  <w:hideMark/>
                </w:tcPr>
                <w:p w14:paraId="76F5F62F" w14:textId="77777777" w:rsidR="00570A9F" w:rsidRPr="00570A9F" w:rsidRDefault="00570A9F" w:rsidP="00E24F0F">
                  <w:pPr>
                    <w:rPr>
                      <w:rFonts w:ascii="Arial" w:hAnsi="Arial" w:cs="Arial"/>
                      <w:color w:val="000000"/>
                    </w:rPr>
                  </w:pPr>
                </w:p>
              </w:tc>
            </w:tr>
          </w:tbl>
          <w:p w14:paraId="6FEEFADE" w14:textId="77777777" w:rsidR="00570A9F" w:rsidRPr="00570A9F" w:rsidRDefault="00570A9F" w:rsidP="00E24F0F">
            <w:pPr>
              <w:rPr>
                <w:rFonts w:ascii="Arial" w:hAnsi="Arial" w:cs="Arial"/>
                <w:color w:val="000000"/>
              </w:rPr>
            </w:pPr>
          </w:p>
        </w:tc>
        <w:tc>
          <w:tcPr>
            <w:tcW w:w="896" w:type="dxa"/>
            <w:tcBorders>
              <w:top w:val="nil"/>
              <w:left w:val="nil"/>
              <w:bottom w:val="nil"/>
              <w:right w:val="nil"/>
            </w:tcBorders>
            <w:shd w:val="clear" w:color="auto" w:fill="auto"/>
            <w:noWrap/>
            <w:vAlign w:val="bottom"/>
            <w:hideMark/>
          </w:tcPr>
          <w:p w14:paraId="3E1B17D3"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306DD930"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0131D09F"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6F1D107E"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490E9C79"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5095A626"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1813D1A1" w14:textId="77777777" w:rsidR="00570A9F" w:rsidRPr="00570A9F" w:rsidRDefault="00570A9F" w:rsidP="00E24F0F">
            <w:pPr>
              <w:rPr>
                <w:rFonts w:ascii="Arial" w:hAnsi="Arial" w:cs="Arial"/>
              </w:rPr>
            </w:pPr>
          </w:p>
        </w:tc>
      </w:tr>
      <w:tr w:rsidR="00570A9F" w:rsidRPr="00570A9F" w14:paraId="406ABD28" w14:textId="77777777" w:rsidTr="00E24F0F">
        <w:trPr>
          <w:trHeight w:val="564"/>
        </w:trPr>
        <w:tc>
          <w:tcPr>
            <w:tcW w:w="1136" w:type="dxa"/>
            <w:tcBorders>
              <w:top w:val="nil"/>
              <w:left w:val="nil"/>
              <w:bottom w:val="nil"/>
              <w:right w:val="nil"/>
            </w:tcBorders>
            <w:shd w:val="clear" w:color="auto" w:fill="auto"/>
            <w:noWrap/>
            <w:vAlign w:val="bottom"/>
            <w:hideMark/>
          </w:tcPr>
          <w:p w14:paraId="68C5FE1F"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0EB2DE21"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hideMark/>
          </w:tcPr>
          <w:p w14:paraId="7F005CEB"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4BF9A7C5"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43A608E8"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53B08C0A"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36F93AB8"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124E6B94"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6581D239" w14:textId="77777777" w:rsidR="00570A9F" w:rsidRPr="00570A9F" w:rsidRDefault="00570A9F" w:rsidP="00E24F0F">
            <w:pPr>
              <w:rPr>
                <w:rFonts w:ascii="Arial" w:hAnsi="Arial" w:cs="Arial"/>
              </w:rPr>
            </w:pPr>
          </w:p>
        </w:tc>
      </w:tr>
      <w:tr w:rsidR="00570A9F" w:rsidRPr="00570A9F" w14:paraId="1F565233" w14:textId="77777777" w:rsidTr="00E24F0F">
        <w:trPr>
          <w:trHeight w:val="300"/>
        </w:trPr>
        <w:tc>
          <w:tcPr>
            <w:tcW w:w="1136" w:type="dxa"/>
            <w:tcBorders>
              <w:top w:val="nil"/>
              <w:left w:val="nil"/>
              <w:bottom w:val="nil"/>
              <w:right w:val="nil"/>
            </w:tcBorders>
            <w:shd w:val="clear" w:color="auto" w:fill="auto"/>
            <w:noWrap/>
            <w:vAlign w:val="bottom"/>
            <w:hideMark/>
          </w:tcPr>
          <w:p w14:paraId="59E78950"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228B9D7A"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hideMark/>
          </w:tcPr>
          <w:p w14:paraId="61251BDF"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67AB2FF2"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2D5B535F"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239A320A"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6D7E6AE5"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25D7B50D"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5F496FE3" w14:textId="77777777" w:rsidR="00570A9F" w:rsidRPr="00570A9F" w:rsidRDefault="00570A9F" w:rsidP="00E24F0F">
            <w:pPr>
              <w:rPr>
                <w:rFonts w:ascii="Arial" w:hAnsi="Arial" w:cs="Arial"/>
              </w:rPr>
            </w:pPr>
          </w:p>
        </w:tc>
      </w:tr>
      <w:tr w:rsidR="00570A9F" w:rsidRPr="00570A9F" w14:paraId="443CEFAE" w14:textId="77777777" w:rsidTr="00E24F0F">
        <w:trPr>
          <w:trHeight w:val="504"/>
        </w:trPr>
        <w:tc>
          <w:tcPr>
            <w:tcW w:w="1136" w:type="dxa"/>
            <w:tcBorders>
              <w:top w:val="nil"/>
              <w:left w:val="nil"/>
              <w:bottom w:val="nil"/>
              <w:right w:val="nil"/>
            </w:tcBorders>
            <w:shd w:val="clear" w:color="auto" w:fill="auto"/>
            <w:noWrap/>
            <w:vAlign w:val="bottom"/>
            <w:hideMark/>
          </w:tcPr>
          <w:p w14:paraId="4D9C363C"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7CD96F1D"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hideMark/>
          </w:tcPr>
          <w:p w14:paraId="3C88AB23"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621A4471"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24C07E04"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07AF2690"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6567243F"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40E67F18"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65A69F5F" w14:textId="77777777" w:rsidR="00570A9F" w:rsidRPr="00570A9F" w:rsidRDefault="00570A9F" w:rsidP="00E24F0F">
            <w:pPr>
              <w:rPr>
                <w:rFonts w:ascii="Arial" w:hAnsi="Arial" w:cs="Arial"/>
              </w:rPr>
            </w:pPr>
          </w:p>
        </w:tc>
      </w:tr>
      <w:tr w:rsidR="00570A9F" w:rsidRPr="00570A9F" w14:paraId="6C2E2780" w14:textId="77777777" w:rsidTr="00E24F0F">
        <w:trPr>
          <w:trHeight w:val="300"/>
        </w:trPr>
        <w:tc>
          <w:tcPr>
            <w:tcW w:w="1136" w:type="dxa"/>
            <w:tcBorders>
              <w:top w:val="nil"/>
              <w:left w:val="nil"/>
              <w:bottom w:val="nil"/>
              <w:right w:val="nil"/>
            </w:tcBorders>
            <w:shd w:val="clear" w:color="auto" w:fill="auto"/>
            <w:noWrap/>
            <w:vAlign w:val="bottom"/>
            <w:hideMark/>
          </w:tcPr>
          <w:p w14:paraId="70C3BCD3"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202FE9F5"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hideMark/>
          </w:tcPr>
          <w:p w14:paraId="692F26DB"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50F28B01"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03CB9157"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33936044"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37E0EA3E"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4A8728AF"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3E30AB73" w14:textId="77777777" w:rsidR="00570A9F" w:rsidRPr="00570A9F" w:rsidRDefault="00570A9F" w:rsidP="00E24F0F">
            <w:pPr>
              <w:rPr>
                <w:rFonts w:ascii="Arial" w:hAnsi="Arial" w:cs="Arial"/>
              </w:rPr>
            </w:pPr>
          </w:p>
        </w:tc>
      </w:tr>
      <w:tr w:rsidR="00570A9F" w:rsidRPr="00570A9F" w14:paraId="139BE75E" w14:textId="77777777" w:rsidTr="00E24F0F">
        <w:trPr>
          <w:trHeight w:val="504"/>
        </w:trPr>
        <w:tc>
          <w:tcPr>
            <w:tcW w:w="1136" w:type="dxa"/>
            <w:tcBorders>
              <w:top w:val="nil"/>
              <w:left w:val="nil"/>
              <w:bottom w:val="nil"/>
              <w:right w:val="nil"/>
            </w:tcBorders>
            <w:shd w:val="clear" w:color="auto" w:fill="auto"/>
            <w:noWrap/>
            <w:vAlign w:val="bottom"/>
            <w:hideMark/>
          </w:tcPr>
          <w:p w14:paraId="41AE59B4"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58B42023"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hideMark/>
          </w:tcPr>
          <w:p w14:paraId="1141BF13"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224C0602"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598F46DA"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689E0803"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11A64DBC"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3400D554"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1F04BB8E" w14:textId="77777777" w:rsidR="00570A9F" w:rsidRPr="00570A9F" w:rsidRDefault="00570A9F" w:rsidP="00E24F0F">
            <w:pPr>
              <w:rPr>
                <w:rFonts w:ascii="Arial" w:hAnsi="Arial" w:cs="Arial"/>
              </w:rPr>
            </w:pPr>
          </w:p>
        </w:tc>
      </w:tr>
      <w:tr w:rsidR="00570A9F" w:rsidRPr="00570A9F" w14:paraId="50574761" w14:textId="77777777" w:rsidTr="00E24F0F">
        <w:trPr>
          <w:trHeight w:val="744"/>
        </w:trPr>
        <w:tc>
          <w:tcPr>
            <w:tcW w:w="1136" w:type="dxa"/>
            <w:tcBorders>
              <w:top w:val="nil"/>
              <w:left w:val="nil"/>
              <w:bottom w:val="nil"/>
              <w:right w:val="nil"/>
            </w:tcBorders>
            <w:shd w:val="clear" w:color="auto" w:fill="auto"/>
            <w:noWrap/>
            <w:vAlign w:val="bottom"/>
            <w:hideMark/>
          </w:tcPr>
          <w:p w14:paraId="5F07BE23"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47163F5F"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hideMark/>
          </w:tcPr>
          <w:p w14:paraId="3B8A069D"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392C8C7A"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7D15FD2F"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4F9EDE3F"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1CC0FF90"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331907A3"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6246C743" w14:textId="77777777" w:rsidR="00570A9F" w:rsidRPr="00570A9F" w:rsidRDefault="00570A9F" w:rsidP="00E24F0F">
            <w:pPr>
              <w:rPr>
                <w:rFonts w:ascii="Arial" w:hAnsi="Arial" w:cs="Arial"/>
              </w:rPr>
            </w:pPr>
          </w:p>
        </w:tc>
      </w:tr>
      <w:tr w:rsidR="00570A9F" w:rsidRPr="00570A9F" w14:paraId="73E88A0E" w14:textId="77777777" w:rsidTr="00E24F0F">
        <w:trPr>
          <w:trHeight w:val="300"/>
        </w:trPr>
        <w:tc>
          <w:tcPr>
            <w:tcW w:w="1136" w:type="dxa"/>
            <w:tcBorders>
              <w:top w:val="nil"/>
              <w:left w:val="nil"/>
              <w:bottom w:val="nil"/>
              <w:right w:val="nil"/>
            </w:tcBorders>
            <w:shd w:val="clear" w:color="auto" w:fill="auto"/>
            <w:noWrap/>
            <w:vAlign w:val="bottom"/>
            <w:hideMark/>
          </w:tcPr>
          <w:p w14:paraId="3F5A3F9C"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044728AE"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hideMark/>
          </w:tcPr>
          <w:p w14:paraId="38F048FE"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752D116F"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5D02D55F"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50C075B4"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02704C37"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29289AF2"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15CCFBE7" w14:textId="77777777" w:rsidR="00570A9F" w:rsidRPr="00570A9F" w:rsidRDefault="00570A9F" w:rsidP="00E24F0F">
            <w:pPr>
              <w:rPr>
                <w:rFonts w:ascii="Arial" w:hAnsi="Arial" w:cs="Arial"/>
              </w:rPr>
            </w:pPr>
          </w:p>
        </w:tc>
      </w:tr>
      <w:tr w:rsidR="00570A9F" w:rsidRPr="00570A9F" w14:paraId="297AD5C3" w14:textId="77777777" w:rsidTr="00E24F0F">
        <w:trPr>
          <w:trHeight w:val="672"/>
        </w:trPr>
        <w:tc>
          <w:tcPr>
            <w:tcW w:w="1136" w:type="dxa"/>
            <w:tcBorders>
              <w:top w:val="nil"/>
              <w:left w:val="nil"/>
              <w:bottom w:val="nil"/>
              <w:right w:val="nil"/>
            </w:tcBorders>
            <w:shd w:val="clear" w:color="auto" w:fill="auto"/>
            <w:noWrap/>
            <w:vAlign w:val="bottom"/>
          </w:tcPr>
          <w:p w14:paraId="3B0543AE"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tcPr>
          <w:p w14:paraId="54024925"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tcPr>
          <w:p w14:paraId="76BCEF99"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tcPr>
          <w:p w14:paraId="4940B4A5"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tcPr>
          <w:p w14:paraId="525F05B7"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226B2D47"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04B4B093"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tcPr>
          <w:p w14:paraId="22E69839"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tcPr>
          <w:p w14:paraId="036A8B9E" w14:textId="77777777" w:rsidR="00570A9F" w:rsidRPr="00570A9F" w:rsidRDefault="00570A9F" w:rsidP="00E24F0F">
            <w:pPr>
              <w:rPr>
                <w:rFonts w:ascii="Arial" w:hAnsi="Arial" w:cs="Arial"/>
              </w:rPr>
            </w:pPr>
          </w:p>
        </w:tc>
      </w:tr>
      <w:tr w:rsidR="00570A9F" w:rsidRPr="00570A9F" w14:paraId="51BD37C6" w14:textId="77777777" w:rsidTr="00E24F0F">
        <w:trPr>
          <w:trHeight w:val="300"/>
        </w:trPr>
        <w:tc>
          <w:tcPr>
            <w:tcW w:w="1136" w:type="dxa"/>
            <w:tcBorders>
              <w:top w:val="nil"/>
              <w:left w:val="nil"/>
              <w:bottom w:val="nil"/>
              <w:right w:val="nil"/>
            </w:tcBorders>
            <w:shd w:val="clear" w:color="auto" w:fill="auto"/>
            <w:noWrap/>
            <w:vAlign w:val="bottom"/>
          </w:tcPr>
          <w:p w14:paraId="68675781"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tcPr>
          <w:p w14:paraId="5F94DC82"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tcPr>
          <w:p w14:paraId="6CDC4F99"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tcPr>
          <w:p w14:paraId="5AE6A1C2"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tcPr>
          <w:p w14:paraId="5CD86F02"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76279044"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66D67A29"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tcPr>
          <w:p w14:paraId="4D1961AB"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tcPr>
          <w:p w14:paraId="61C4B0BD" w14:textId="77777777" w:rsidR="00570A9F" w:rsidRPr="00570A9F" w:rsidRDefault="00570A9F" w:rsidP="00E24F0F">
            <w:pPr>
              <w:rPr>
                <w:rFonts w:ascii="Arial" w:hAnsi="Arial" w:cs="Arial"/>
              </w:rPr>
            </w:pPr>
          </w:p>
        </w:tc>
      </w:tr>
      <w:tr w:rsidR="00570A9F" w:rsidRPr="00570A9F" w14:paraId="0E4409BA" w14:textId="77777777" w:rsidTr="00E24F0F">
        <w:trPr>
          <w:trHeight w:val="300"/>
        </w:trPr>
        <w:tc>
          <w:tcPr>
            <w:tcW w:w="1136" w:type="dxa"/>
            <w:tcBorders>
              <w:top w:val="nil"/>
              <w:left w:val="nil"/>
              <w:bottom w:val="nil"/>
              <w:right w:val="nil"/>
            </w:tcBorders>
            <w:shd w:val="clear" w:color="auto" w:fill="auto"/>
            <w:noWrap/>
            <w:vAlign w:val="bottom"/>
          </w:tcPr>
          <w:p w14:paraId="63117D18"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tcPr>
          <w:p w14:paraId="30F8FD94"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tcPr>
          <w:p w14:paraId="5B24D3E8"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tcPr>
          <w:p w14:paraId="2EE24D83"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tcPr>
          <w:p w14:paraId="3AC47973"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1E7408F8"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6488E3EA"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tcPr>
          <w:p w14:paraId="729C6F55"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tcPr>
          <w:p w14:paraId="7667FC39" w14:textId="77777777" w:rsidR="00570A9F" w:rsidRPr="00570A9F" w:rsidRDefault="00570A9F" w:rsidP="00E24F0F">
            <w:pPr>
              <w:rPr>
                <w:rFonts w:ascii="Arial" w:hAnsi="Arial" w:cs="Arial"/>
              </w:rPr>
            </w:pPr>
          </w:p>
        </w:tc>
      </w:tr>
      <w:tr w:rsidR="00570A9F" w:rsidRPr="00570A9F" w14:paraId="323676CC" w14:textId="77777777" w:rsidTr="00E24F0F">
        <w:trPr>
          <w:trHeight w:val="300"/>
        </w:trPr>
        <w:tc>
          <w:tcPr>
            <w:tcW w:w="1136" w:type="dxa"/>
            <w:tcBorders>
              <w:top w:val="nil"/>
              <w:left w:val="nil"/>
              <w:bottom w:val="nil"/>
              <w:right w:val="nil"/>
            </w:tcBorders>
            <w:shd w:val="clear" w:color="auto" w:fill="auto"/>
            <w:noWrap/>
            <w:vAlign w:val="bottom"/>
          </w:tcPr>
          <w:p w14:paraId="6335D127"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tcPr>
          <w:p w14:paraId="22A5A1EE"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tcPr>
          <w:p w14:paraId="4741FC5B"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tcPr>
          <w:p w14:paraId="497B012E"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tcPr>
          <w:p w14:paraId="0EE91E8D"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2045BCB9"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2E65D335"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tcPr>
          <w:p w14:paraId="13647578"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tcPr>
          <w:p w14:paraId="0FFB2E93" w14:textId="77777777" w:rsidR="00570A9F" w:rsidRPr="00570A9F" w:rsidRDefault="00570A9F" w:rsidP="00E24F0F">
            <w:pPr>
              <w:rPr>
                <w:rFonts w:ascii="Arial" w:hAnsi="Arial" w:cs="Arial"/>
              </w:rPr>
            </w:pPr>
          </w:p>
        </w:tc>
      </w:tr>
      <w:tr w:rsidR="00570A9F" w:rsidRPr="00570A9F" w14:paraId="285A277F" w14:textId="77777777" w:rsidTr="00E24F0F">
        <w:trPr>
          <w:trHeight w:val="288"/>
        </w:trPr>
        <w:tc>
          <w:tcPr>
            <w:tcW w:w="1136" w:type="dxa"/>
            <w:tcBorders>
              <w:top w:val="nil"/>
              <w:left w:val="nil"/>
              <w:bottom w:val="nil"/>
              <w:right w:val="nil"/>
            </w:tcBorders>
            <w:shd w:val="clear" w:color="auto" w:fill="auto"/>
            <w:noWrap/>
            <w:vAlign w:val="bottom"/>
          </w:tcPr>
          <w:p w14:paraId="6E784F31"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tcPr>
          <w:p w14:paraId="1882F7E6"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tcPr>
          <w:p w14:paraId="736CF803"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tcPr>
          <w:p w14:paraId="3673738A"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tcPr>
          <w:p w14:paraId="06245711"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3B2CEA2A"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tcPr>
          <w:p w14:paraId="45200F92"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tcPr>
          <w:p w14:paraId="7A02245C"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tcPr>
          <w:p w14:paraId="3F39D2D6" w14:textId="77777777" w:rsidR="00570A9F" w:rsidRPr="00570A9F" w:rsidRDefault="00570A9F" w:rsidP="00E24F0F">
            <w:pPr>
              <w:rPr>
                <w:rFonts w:ascii="Arial" w:hAnsi="Arial" w:cs="Arial"/>
              </w:rPr>
            </w:pPr>
          </w:p>
        </w:tc>
      </w:tr>
      <w:tr w:rsidR="00570A9F" w:rsidRPr="00570A9F" w14:paraId="21840589" w14:textId="77777777" w:rsidTr="00E24F0F">
        <w:trPr>
          <w:trHeight w:val="288"/>
        </w:trPr>
        <w:tc>
          <w:tcPr>
            <w:tcW w:w="1136" w:type="dxa"/>
            <w:tcBorders>
              <w:top w:val="nil"/>
              <w:left w:val="nil"/>
              <w:bottom w:val="nil"/>
              <w:right w:val="nil"/>
            </w:tcBorders>
            <w:shd w:val="clear" w:color="auto" w:fill="auto"/>
            <w:noWrap/>
            <w:vAlign w:val="bottom"/>
            <w:hideMark/>
          </w:tcPr>
          <w:p w14:paraId="25A9FF1E" w14:textId="77777777" w:rsidR="00570A9F" w:rsidRPr="00570A9F" w:rsidRDefault="00570A9F" w:rsidP="00E24F0F">
            <w:pPr>
              <w:rPr>
                <w:rFonts w:ascii="Arial" w:hAnsi="Arial" w:cs="Arial"/>
              </w:rPr>
            </w:pPr>
          </w:p>
        </w:tc>
        <w:tc>
          <w:tcPr>
            <w:tcW w:w="1196" w:type="dxa"/>
            <w:tcBorders>
              <w:top w:val="nil"/>
              <w:left w:val="nil"/>
              <w:bottom w:val="nil"/>
              <w:right w:val="nil"/>
            </w:tcBorders>
            <w:shd w:val="clear" w:color="auto" w:fill="auto"/>
            <w:noWrap/>
            <w:vAlign w:val="bottom"/>
            <w:hideMark/>
          </w:tcPr>
          <w:p w14:paraId="05ACDC6C" w14:textId="77777777" w:rsidR="00570A9F" w:rsidRPr="00570A9F" w:rsidRDefault="00570A9F" w:rsidP="00E24F0F">
            <w:pPr>
              <w:rPr>
                <w:rFonts w:ascii="Arial" w:hAnsi="Arial" w:cs="Arial"/>
              </w:rPr>
            </w:pPr>
          </w:p>
        </w:tc>
        <w:tc>
          <w:tcPr>
            <w:tcW w:w="896" w:type="dxa"/>
            <w:tcBorders>
              <w:top w:val="nil"/>
              <w:left w:val="nil"/>
              <w:bottom w:val="nil"/>
              <w:right w:val="nil"/>
            </w:tcBorders>
            <w:shd w:val="clear" w:color="auto" w:fill="auto"/>
            <w:noWrap/>
            <w:vAlign w:val="bottom"/>
            <w:hideMark/>
          </w:tcPr>
          <w:p w14:paraId="5390C964" w14:textId="77777777" w:rsidR="00570A9F" w:rsidRPr="00570A9F" w:rsidRDefault="00570A9F" w:rsidP="00E24F0F">
            <w:pPr>
              <w:rPr>
                <w:rFonts w:ascii="Arial" w:hAnsi="Arial" w:cs="Arial"/>
              </w:rPr>
            </w:pPr>
          </w:p>
        </w:tc>
        <w:tc>
          <w:tcPr>
            <w:tcW w:w="776" w:type="dxa"/>
            <w:tcBorders>
              <w:top w:val="nil"/>
              <w:left w:val="nil"/>
              <w:bottom w:val="nil"/>
              <w:right w:val="nil"/>
            </w:tcBorders>
            <w:shd w:val="clear" w:color="auto" w:fill="auto"/>
            <w:noWrap/>
            <w:vAlign w:val="bottom"/>
            <w:hideMark/>
          </w:tcPr>
          <w:p w14:paraId="748AD6F8" w14:textId="77777777" w:rsidR="00570A9F" w:rsidRPr="00570A9F" w:rsidRDefault="00570A9F" w:rsidP="00E24F0F">
            <w:pPr>
              <w:rPr>
                <w:rFonts w:ascii="Arial" w:hAnsi="Arial" w:cs="Arial"/>
              </w:rPr>
            </w:pPr>
          </w:p>
        </w:tc>
        <w:tc>
          <w:tcPr>
            <w:tcW w:w="816" w:type="dxa"/>
            <w:tcBorders>
              <w:top w:val="nil"/>
              <w:left w:val="nil"/>
              <w:bottom w:val="nil"/>
              <w:right w:val="nil"/>
            </w:tcBorders>
            <w:shd w:val="clear" w:color="auto" w:fill="auto"/>
            <w:noWrap/>
            <w:vAlign w:val="bottom"/>
            <w:hideMark/>
          </w:tcPr>
          <w:p w14:paraId="0D65D98A"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175736E9" w14:textId="77777777" w:rsidR="00570A9F" w:rsidRPr="00570A9F" w:rsidRDefault="00570A9F" w:rsidP="00E24F0F">
            <w:pPr>
              <w:rPr>
                <w:rFonts w:ascii="Arial" w:hAnsi="Arial" w:cs="Arial"/>
              </w:rPr>
            </w:pPr>
          </w:p>
        </w:tc>
        <w:tc>
          <w:tcPr>
            <w:tcW w:w="836" w:type="dxa"/>
            <w:tcBorders>
              <w:top w:val="nil"/>
              <w:left w:val="nil"/>
              <w:bottom w:val="nil"/>
              <w:right w:val="nil"/>
            </w:tcBorders>
            <w:shd w:val="clear" w:color="auto" w:fill="auto"/>
            <w:noWrap/>
            <w:vAlign w:val="bottom"/>
            <w:hideMark/>
          </w:tcPr>
          <w:p w14:paraId="07E24FD5" w14:textId="77777777" w:rsidR="00570A9F" w:rsidRPr="00570A9F" w:rsidRDefault="00570A9F" w:rsidP="00E24F0F">
            <w:pPr>
              <w:rPr>
                <w:rFonts w:ascii="Arial" w:hAnsi="Arial" w:cs="Arial"/>
              </w:rPr>
            </w:pPr>
          </w:p>
        </w:tc>
        <w:tc>
          <w:tcPr>
            <w:tcW w:w="1156" w:type="dxa"/>
            <w:tcBorders>
              <w:top w:val="nil"/>
              <w:left w:val="nil"/>
              <w:bottom w:val="nil"/>
              <w:right w:val="nil"/>
            </w:tcBorders>
            <w:shd w:val="clear" w:color="auto" w:fill="auto"/>
            <w:noWrap/>
            <w:vAlign w:val="bottom"/>
            <w:hideMark/>
          </w:tcPr>
          <w:p w14:paraId="101D40ED" w14:textId="77777777" w:rsidR="00570A9F" w:rsidRPr="00570A9F" w:rsidRDefault="00570A9F" w:rsidP="00E24F0F">
            <w:pPr>
              <w:rPr>
                <w:rFonts w:ascii="Arial" w:hAnsi="Arial" w:cs="Arial"/>
              </w:rPr>
            </w:pPr>
          </w:p>
        </w:tc>
        <w:tc>
          <w:tcPr>
            <w:tcW w:w="1136" w:type="dxa"/>
            <w:tcBorders>
              <w:top w:val="nil"/>
              <w:left w:val="nil"/>
              <w:bottom w:val="nil"/>
              <w:right w:val="nil"/>
            </w:tcBorders>
            <w:shd w:val="clear" w:color="auto" w:fill="auto"/>
            <w:noWrap/>
            <w:vAlign w:val="bottom"/>
            <w:hideMark/>
          </w:tcPr>
          <w:p w14:paraId="4D506D75" w14:textId="77777777" w:rsidR="00570A9F" w:rsidRPr="00570A9F" w:rsidRDefault="00570A9F" w:rsidP="00E24F0F">
            <w:pPr>
              <w:rPr>
                <w:rFonts w:ascii="Arial" w:hAnsi="Arial" w:cs="Arial"/>
              </w:rPr>
            </w:pPr>
          </w:p>
        </w:tc>
      </w:tr>
    </w:tbl>
    <w:p w14:paraId="60D51F0D" w14:textId="77777777" w:rsidR="00570A9F" w:rsidRPr="00570A9F" w:rsidRDefault="00570A9F" w:rsidP="00570A9F">
      <w:pPr>
        <w:ind w:firstLine="720"/>
        <w:jc w:val="center"/>
        <w:rPr>
          <w:rFonts w:ascii="Arial" w:hAnsi="Arial" w:cs="Arial"/>
          <w:b/>
          <w:color w:val="FF0000"/>
        </w:rPr>
      </w:pPr>
    </w:p>
    <w:p w14:paraId="6B151E18" w14:textId="77777777" w:rsidR="00570A9F" w:rsidRPr="00570A9F" w:rsidRDefault="00570A9F" w:rsidP="00570A9F">
      <w:pPr>
        <w:ind w:firstLine="720"/>
        <w:jc w:val="both"/>
        <w:rPr>
          <w:rFonts w:ascii="Arial" w:hAnsi="Arial" w:cs="Arial"/>
        </w:rPr>
      </w:pPr>
      <w:r w:rsidRPr="00570A9F">
        <w:rPr>
          <w:rFonts w:ascii="Arial" w:hAnsi="Arial" w:cs="Arial"/>
        </w:rPr>
        <w:t>Iedzīvotāju ienākuma nodokļa (IIN) prognoze ir 16 078 490 EUR.</w:t>
      </w:r>
    </w:p>
    <w:p w14:paraId="24307FE6" w14:textId="77777777" w:rsidR="00570A9F" w:rsidRPr="00570A9F" w:rsidRDefault="00570A9F" w:rsidP="00570A9F">
      <w:pPr>
        <w:ind w:firstLine="720"/>
        <w:jc w:val="both"/>
        <w:rPr>
          <w:rFonts w:ascii="Arial" w:hAnsi="Arial" w:cs="Arial"/>
          <w:color w:val="FF0000"/>
        </w:rPr>
      </w:pPr>
      <w:r w:rsidRPr="00570A9F">
        <w:rPr>
          <w:rFonts w:ascii="Arial" w:hAnsi="Arial" w:cs="Arial"/>
        </w:rPr>
        <w:t>Nekustamā īpašuma nodokļa (NĪN) prognoze 2 972 466 EUR.</w:t>
      </w:r>
    </w:p>
    <w:p w14:paraId="73A753B9" w14:textId="77777777" w:rsidR="00570A9F" w:rsidRPr="00570A9F" w:rsidRDefault="00570A9F" w:rsidP="00570A9F">
      <w:pPr>
        <w:ind w:firstLine="720"/>
        <w:jc w:val="both"/>
        <w:rPr>
          <w:rFonts w:ascii="Arial" w:hAnsi="Arial" w:cs="Arial"/>
        </w:rPr>
      </w:pPr>
      <w:proofErr w:type="spellStart"/>
      <w:r w:rsidRPr="00570A9F">
        <w:rPr>
          <w:rFonts w:ascii="Arial" w:hAnsi="Arial" w:cs="Arial"/>
        </w:rPr>
        <w:t>Nenodokļu</w:t>
      </w:r>
      <w:proofErr w:type="spellEnd"/>
      <w:r w:rsidRPr="00570A9F">
        <w:rPr>
          <w:rFonts w:ascii="Arial" w:hAnsi="Arial" w:cs="Arial"/>
        </w:rPr>
        <w:t xml:space="preserve"> ieņēmumus 2 092 923 EUR apmērā veido ieņēmumi no uzņēmējdarbības un īpašuma, valsts (pašvaldību) nodevas un kancelejas nodevas, naudas sodi un sankcijas, ieņēmumi no īpašuma iznomāšanas un pārdošanas, un citi ieņēmumi.</w:t>
      </w:r>
    </w:p>
    <w:p w14:paraId="7543D0BF" w14:textId="77777777" w:rsidR="00570A9F" w:rsidRPr="00570A9F" w:rsidRDefault="00570A9F" w:rsidP="00570A9F">
      <w:pPr>
        <w:ind w:firstLine="720"/>
        <w:jc w:val="both"/>
        <w:rPr>
          <w:rFonts w:ascii="Arial" w:hAnsi="Arial" w:cs="Arial"/>
        </w:rPr>
      </w:pPr>
      <w:r w:rsidRPr="00570A9F">
        <w:rPr>
          <w:rFonts w:ascii="Arial" w:hAnsi="Arial" w:cs="Arial"/>
        </w:rPr>
        <w:t>Maksas pakalpojumus un citus pašu ieņēmumus 1 927 721 EUR apmērā veido ieņēmumi no iestāžu sniegtajiem maksas pakalpojumiem un citu iestāžu ieņēmumi.</w:t>
      </w:r>
    </w:p>
    <w:p w14:paraId="45AC28FF" w14:textId="77777777" w:rsidR="00570A9F" w:rsidRPr="00570A9F" w:rsidRDefault="00570A9F" w:rsidP="00570A9F">
      <w:pPr>
        <w:ind w:firstLine="720"/>
        <w:jc w:val="both"/>
        <w:rPr>
          <w:rFonts w:ascii="Arial" w:hAnsi="Arial" w:cs="Arial"/>
        </w:rPr>
      </w:pPr>
      <w:r w:rsidRPr="00570A9F">
        <w:rPr>
          <w:rFonts w:ascii="Arial" w:hAnsi="Arial" w:cs="Arial"/>
        </w:rPr>
        <w:t xml:space="preserve">Valsts mērķdotācija pedagogu un treneru samaksai un darba devēja valsts sociālās apdrošināšanas obligātajām iemaksām un citas mērķdotācijas, projektu finansējums un pašvaldību saņemtie </w:t>
      </w:r>
      <w:proofErr w:type="spellStart"/>
      <w:r w:rsidRPr="00570A9F">
        <w:rPr>
          <w:rFonts w:ascii="Arial" w:hAnsi="Arial" w:cs="Arial"/>
        </w:rPr>
        <w:t>transferti</w:t>
      </w:r>
      <w:proofErr w:type="spellEnd"/>
      <w:r w:rsidRPr="00570A9F">
        <w:rPr>
          <w:rFonts w:ascii="Arial" w:hAnsi="Arial" w:cs="Arial"/>
        </w:rPr>
        <w:t xml:space="preserve"> no citām pašvaldībām plānoti 23 924 089 EUR apmērā.</w:t>
      </w:r>
    </w:p>
    <w:p w14:paraId="359FDEED" w14:textId="77777777" w:rsidR="00570A9F" w:rsidRPr="00570A9F" w:rsidRDefault="00570A9F" w:rsidP="00570A9F">
      <w:pPr>
        <w:ind w:firstLine="720"/>
        <w:jc w:val="both"/>
        <w:rPr>
          <w:rFonts w:ascii="Arial" w:hAnsi="Arial" w:cs="Arial"/>
        </w:rPr>
      </w:pPr>
    </w:p>
    <w:p w14:paraId="5137F9BF" w14:textId="77777777" w:rsidR="00570A9F" w:rsidRPr="00570A9F" w:rsidRDefault="00570A9F" w:rsidP="00570A9F">
      <w:pPr>
        <w:ind w:firstLine="720"/>
        <w:jc w:val="center"/>
        <w:rPr>
          <w:rFonts w:ascii="Arial" w:hAnsi="Arial" w:cs="Arial"/>
          <w:b/>
          <w:bCs/>
        </w:rPr>
      </w:pPr>
      <w:r w:rsidRPr="00570A9F">
        <w:rPr>
          <w:rFonts w:ascii="Arial" w:hAnsi="Arial" w:cs="Arial"/>
          <w:b/>
          <w:bCs/>
        </w:rPr>
        <w:t>Pamatbudžeta izdevumi</w:t>
      </w:r>
    </w:p>
    <w:p w14:paraId="005F932F" w14:textId="77777777" w:rsidR="00570A9F" w:rsidRPr="00570A9F" w:rsidRDefault="00570A9F" w:rsidP="00570A9F">
      <w:pPr>
        <w:ind w:firstLine="720"/>
        <w:jc w:val="both"/>
        <w:rPr>
          <w:rFonts w:ascii="Arial" w:hAnsi="Arial" w:cs="Arial"/>
        </w:rPr>
      </w:pPr>
      <w:r w:rsidRPr="00570A9F">
        <w:rPr>
          <w:rFonts w:ascii="Arial" w:hAnsi="Arial" w:cs="Arial"/>
        </w:rPr>
        <w:t>Pamatbudžeta izdevumi plānoti 58 296 039 EUR apmērā (neieskaitot Valsts kases aizņēmumu pamatsummas atmaksas).</w:t>
      </w:r>
    </w:p>
    <w:p w14:paraId="0FDBF4EE" w14:textId="77777777" w:rsidR="00570A9F" w:rsidRPr="00570A9F" w:rsidRDefault="00570A9F" w:rsidP="00570A9F">
      <w:pPr>
        <w:ind w:firstLine="720"/>
        <w:jc w:val="both"/>
        <w:rPr>
          <w:rFonts w:ascii="Arial" w:hAnsi="Arial" w:cs="Arial"/>
        </w:rPr>
      </w:pPr>
    </w:p>
    <w:p w14:paraId="045013B3" w14:textId="77777777" w:rsidR="00570A9F" w:rsidRPr="00570A9F" w:rsidRDefault="00570A9F" w:rsidP="00570A9F">
      <w:pPr>
        <w:ind w:firstLine="720"/>
        <w:jc w:val="center"/>
        <w:rPr>
          <w:rFonts w:ascii="Arial" w:hAnsi="Arial" w:cs="Arial"/>
        </w:rPr>
      </w:pPr>
      <w:r w:rsidRPr="00570A9F">
        <w:rPr>
          <w:rFonts w:ascii="Arial" w:hAnsi="Arial" w:cs="Arial"/>
          <w:b/>
          <w:bCs/>
          <w:u w:val="single"/>
        </w:rPr>
        <w:t>Izdevumi- 2021.gada plāns</w:t>
      </w:r>
    </w:p>
    <w:p w14:paraId="0F106736" w14:textId="77777777" w:rsidR="00570A9F" w:rsidRPr="00570A9F" w:rsidRDefault="00570A9F" w:rsidP="00570A9F">
      <w:pPr>
        <w:jc w:val="both"/>
        <w:rPr>
          <w:rFonts w:ascii="Arial" w:hAnsi="Arial" w:cs="Arial"/>
          <w:b/>
        </w:rPr>
      </w:pPr>
    </w:p>
    <w:p w14:paraId="03544A67" w14:textId="77777777" w:rsidR="00570A9F" w:rsidRPr="00570A9F" w:rsidRDefault="00570A9F" w:rsidP="00570A9F">
      <w:pPr>
        <w:jc w:val="center"/>
        <w:rPr>
          <w:rFonts w:ascii="Arial" w:hAnsi="Arial" w:cs="Arial"/>
          <w:b/>
        </w:rPr>
      </w:pPr>
      <w:r w:rsidRPr="00570A9F">
        <w:rPr>
          <w:rFonts w:ascii="Arial" w:hAnsi="Arial" w:cs="Arial"/>
          <w:noProof/>
        </w:rPr>
        <w:drawing>
          <wp:inline distT="0" distB="0" distL="0" distR="0" wp14:anchorId="0221FB6F" wp14:editId="6CB76FE4">
            <wp:extent cx="4816737" cy="2656242"/>
            <wp:effectExtent l="0" t="0" r="3175" b="10795"/>
            <wp:docPr id="4" name="Diagramma 4">
              <a:extLst xmlns:a="http://schemas.openxmlformats.org/drawingml/2006/main">
                <a:ext uri="{FF2B5EF4-FFF2-40B4-BE49-F238E27FC236}">
                  <a16:creationId xmlns:a16="http://schemas.microsoft.com/office/drawing/2014/main" id="{2AB2913C-4C19-4694-842A-BB4F0FDCD3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B70558" w14:textId="77777777" w:rsidR="00570A9F" w:rsidRPr="00570A9F" w:rsidRDefault="00570A9F" w:rsidP="00570A9F">
      <w:pPr>
        <w:jc w:val="both"/>
        <w:rPr>
          <w:rFonts w:ascii="Arial" w:hAnsi="Arial" w:cs="Arial"/>
          <w:b/>
        </w:rPr>
      </w:pPr>
    </w:p>
    <w:p w14:paraId="2F54D617" w14:textId="77777777" w:rsidR="00570A9F" w:rsidRPr="00570A9F" w:rsidRDefault="00570A9F" w:rsidP="00570A9F">
      <w:pPr>
        <w:jc w:val="both"/>
        <w:rPr>
          <w:rFonts w:ascii="Arial" w:hAnsi="Arial" w:cs="Arial"/>
          <w:b/>
        </w:rPr>
      </w:pPr>
    </w:p>
    <w:p w14:paraId="64A60805" w14:textId="77777777" w:rsidR="00570A9F" w:rsidRPr="00570A9F" w:rsidRDefault="00570A9F" w:rsidP="00570A9F">
      <w:pPr>
        <w:jc w:val="both"/>
        <w:rPr>
          <w:rFonts w:ascii="Arial" w:hAnsi="Arial" w:cs="Arial"/>
          <w:b/>
        </w:rPr>
      </w:pPr>
      <w:r w:rsidRPr="00570A9F">
        <w:rPr>
          <w:rFonts w:ascii="Arial" w:hAnsi="Arial" w:cs="Arial"/>
          <w:b/>
        </w:rPr>
        <w:lastRenderedPageBreak/>
        <w:t>Izdevumi atbilstoši funkcionālajām kategorijām /EUR/</w:t>
      </w:r>
    </w:p>
    <w:p w14:paraId="508E9596" w14:textId="77777777" w:rsidR="00570A9F" w:rsidRPr="00570A9F" w:rsidRDefault="00570A9F" w:rsidP="00570A9F">
      <w:pPr>
        <w:jc w:val="both"/>
        <w:rPr>
          <w:rFonts w:ascii="Arial" w:hAnsi="Arial" w:cs="Arial"/>
          <w:b/>
        </w:rPr>
      </w:pPr>
    </w:p>
    <w:p w14:paraId="090D794E" w14:textId="77777777" w:rsidR="00570A9F" w:rsidRPr="00570A9F" w:rsidRDefault="00570A9F" w:rsidP="00570A9F">
      <w:pPr>
        <w:jc w:val="both"/>
        <w:rPr>
          <w:rFonts w:ascii="Arial" w:hAnsi="Arial" w:cs="Arial"/>
          <w:bCs/>
        </w:rPr>
      </w:pPr>
      <w:r w:rsidRPr="00570A9F">
        <w:rPr>
          <w:rFonts w:ascii="Arial" w:hAnsi="Arial" w:cs="Arial"/>
          <w:bCs/>
        </w:rPr>
        <w:t>Vispārējie valdības dienesti  5 955 593</w:t>
      </w:r>
    </w:p>
    <w:p w14:paraId="64F368B2" w14:textId="77777777" w:rsidR="00570A9F" w:rsidRPr="00570A9F" w:rsidRDefault="00570A9F" w:rsidP="00570A9F">
      <w:pPr>
        <w:jc w:val="both"/>
        <w:rPr>
          <w:rFonts w:ascii="Arial" w:hAnsi="Arial" w:cs="Arial"/>
          <w:bCs/>
        </w:rPr>
      </w:pPr>
      <w:r w:rsidRPr="00570A9F">
        <w:rPr>
          <w:rFonts w:ascii="Arial" w:hAnsi="Arial" w:cs="Arial"/>
          <w:bCs/>
        </w:rPr>
        <w:t>Sabiedriskā kārtība un drošība 645 621</w:t>
      </w:r>
    </w:p>
    <w:p w14:paraId="690459D1" w14:textId="77777777" w:rsidR="00570A9F" w:rsidRPr="00570A9F" w:rsidRDefault="00570A9F" w:rsidP="00570A9F">
      <w:pPr>
        <w:jc w:val="both"/>
        <w:rPr>
          <w:rFonts w:ascii="Arial" w:hAnsi="Arial" w:cs="Arial"/>
          <w:bCs/>
        </w:rPr>
      </w:pPr>
      <w:r w:rsidRPr="00570A9F">
        <w:rPr>
          <w:rFonts w:ascii="Arial" w:hAnsi="Arial" w:cs="Arial"/>
          <w:bCs/>
        </w:rPr>
        <w:t>Ekonomiskā darbība 5 708 564</w:t>
      </w:r>
    </w:p>
    <w:p w14:paraId="66F68901" w14:textId="77777777" w:rsidR="00570A9F" w:rsidRPr="00570A9F" w:rsidRDefault="00570A9F" w:rsidP="00570A9F">
      <w:pPr>
        <w:jc w:val="both"/>
        <w:rPr>
          <w:rFonts w:ascii="Arial" w:hAnsi="Arial" w:cs="Arial"/>
          <w:bCs/>
        </w:rPr>
      </w:pPr>
      <w:r w:rsidRPr="00570A9F">
        <w:rPr>
          <w:rFonts w:ascii="Arial" w:hAnsi="Arial" w:cs="Arial"/>
          <w:bCs/>
        </w:rPr>
        <w:t>Vides aizsardzība 924 121</w:t>
      </w:r>
    </w:p>
    <w:p w14:paraId="1AF2E2A7" w14:textId="77777777" w:rsidR="00570A9F" w:rsidRPr="00570A9F" w:rsidRDefault="00570A9F" w:rsidP="00570A9F">
      <w:pPr>
        <w:jc w:val="both"/>
        <w:rPr>
          <w:rFonts w:ascii="Arial" w:hAnsi="Arial" w:cs="Arial"/>
          <w:bCs/>
        </w:rPr>
      </w:pPr>
      <w:r w:rsidRPr="00570A9F">
        <w:rPr>
          <w:rFonts w:ascii="Arial" w:hAnsi="Arial" w:cs="Arial"/>
          <w:bCs/>
        </w:rPr>
        <w:t>Teritoriju un mājokļu apsaimniekošana 13 149 119</w:t>
      </w:r>
    </w:p>
    <w:p w14:paraId="72EDDABC" w14:textId="77777777" w:rsidR="00570A9F" w:rsidRPr="00570A9F" w:rsidRDefault="00570A9F" w:rsidP="00570A9F">
      <w:pPr>
        <w:jc w:val="both"/>
        <w:rPr>
          <w:rFonts w:ascii="Arial" w:hAnsi="Arial" w:cs="Arial"/>
          <w:bCs/>
        </w:rPr>
      </w:pPr>
      <w:r w:rsidRPr="00570A9F">
        <w:rPr>
          <w:rFonts w:ascii="Arial" w:hAnsi="Arial" w:cs="Arial"/>
          <w:bCs/>
        </w:rPr>
        <w:t>Veselība 747 074</w:t>
      </w:r>
      <w:r w:rsidRPr="00570A9F">
        <w:rPr>
          <w:rFonts w:ascii="Arial" w:hAnsi="Arial" w:cs="Arial"/>
          <w:bCs/>
        </w:rPr>
        <w:tab/>
      </w:r>
    </w:p>
    <w:p w14:paraId="29ED55BC" w14:textId="77777777" w:rsidR="00570A9F" w:rsidRPr="00570A9F" w:rsidRDefault="00570A9F" w:rsidP="00570A9F">
      <w:pPr>
        <w:jc w:val="both"/>
        <w:rPr>
          <w:rFonts w:ascii="Arial" w:hAnsi="Arial" w:cs="Arial"/>
          <w:bCs/>
        </w:rPr>
      </w:pPr>
      <w:r w:rsidRPr="00570A9F">
        <w:rPr>
          <w:rFonts w:ascii="Arial" w:hAnsi="Arial" w:cs="Arial"/>
          <w:bCs/>
        </w:rPr>
        <w:t>Atpūta, kultūra un reliģija 5 087 377</w:t>
      </w:r>
      <w:r w:rsidRPr="00570A9F">
        <w:rPr>
          <w:rFonts w:ascii="Arial" w:hAnsi="Arial" w:cs="Arial"/>
          <w:bCs/>
        </w:rPr>
        <w:tab/>
      </w:r>
    </w:p>
    <w:p w14:paraId="10FED575" w14:textId="77777777" w:rsidR="00570A9F" w:rsidRPr="00570A9F" w:rsidRDefault="00570A9F" w:rsidP="00570A9F">
      <w:pPr>
        <w:jc w:val="both"/>
        <w:rPr>
          <w:rFonts w:ascii="Arial" w:hAnsi="Arial" w:cs="Arial"/>
          <w:bCs/>
        </w:rPr>
      </w:pPr>
      <w:r w:rsidRPr="00570A9F">
        <w:rPr>
          <w:rFonts w:ascii="Arial" w:hAnsi="Arial" w:cs="Arial"/>
          <w:bCs/>
        </w:rPr>
        <w:t>Izglītība 21 712 219</w:t>
      </w:r>
    </w:p>
    <w:p w14:paraId="1B4F99E9" w14:textId="77777777" w:rsidR="00570A9F" w:rsidRPr="00570A9F" w:rsidRDefault="00570A9F" w:rsidP="00570A9F">
      <w:pPr>
        <w:jc w:val="both"/>
        <w:rPr>
          <w:rFonts w:ascii="Arial" w:hAnsi="Arial" w:cs="Arial"/>
          <w:bCs/>
        </w:rPr>
      </w:pPr>
      <w:r w:rsidRPr="00570A9F">
        <w:rPr>
          <w:rFonts w:ascii="Arial" w:hAnsi="Arial" w:cs="Arial"/>
          <w:bCs/>
        </w:rPr>
        <w:t>Sociālā aizsardzība 4 366 346</w:t>
      </w:r>
    </w:p>
    <w:p w14:paraId="57D04028" w14:textId="77777777" w:rsidR="00570A9F" w:rsidRPr="00570A9F" w:rsidRDefault="00570A9F" w:rsidP="00570A9F">
      <w:pPr>
        <w:jc w:val="both"/>
        <w:rPr>
          <w:rFonts w:ascii="Arial" w:hAnsi="Arial" w:cs="Arial"/>
          <w:b/>
          <w:bCs/>
          <w:u w:val="single"/>
        </w:rPr>
      </w:pPr>
      <w:r w:rsidRPr="00570A9F">
        <w:rPr>
          <w:rFonts w:ascii="Arial" w:hAnsi="Arial" w:cs="Arial"/>
        </w:rPr>
        <w:tab/>
      </w:r>
    </w:p>
    <w:p w14:paraId="6B3A276E" w14:textId="77777777" w:rsidR="00570A9F" w:rsidRPr="00570A9F" w:rsidRDefault="00570A9F" w:rsidP="00570A9F">
      <w:pPr>
        <w:rPr>
          <w:rFonts w:ascii="Arial" w:hAnsi="Arial" w:cs="Arial"/>
          <w:b/>
          <w:bCs/>
          <w:u w:val="single"/>
        </w:rPr>
      </w:pPr>
      <w:r w:rsidRPr="00570A9F">
        <w:rPr>
          <w:rFonts w:ascii="Arial" w:hAnsi="Arial" w:cs="Arial"/>
          <w:b/>
          <w:bCs/>
          <w:u w:val="single"/>
        </w:rPr>
        <w:t xml:space="preserve">Pašvaldības aģentūras </w:t>
      </w:r>
    </w:p>
    <w:p w14:paraId="31078C31" w14:textId="77777777" w:rsidR="00570A9F" w:rsidRPr="00570A9F" w:rsidRDefault="00570A9F" w:rsidP="00570A9F">
      <w:pPr>
        <w:jc w:val="both"/>
        <w:rPr>
          <w:rFonts w:ascii="Arial" w:hAnsi="Arial" w:cs="Arial"/>
          <w:bCs/>
        </w:rPr>
      </w:pPr>
      <w:r w:rsidRPr="00570A9F">
        <w:rPr>
          <w:rFonts w:ascii="Arial" w:hAnsi="Arial" w:cs="Arial"/>
          <w:bCs/>
        </w:rPr>
        <w:tab/>
        <w:t xml:space="preserve">Pašvaldības aģentūra Grobiņas sporta centrs 2021.gadā ieņēmumi un izdevumi plānoti   366 240  </w:t>
      </w:r>
      <w:r w:rsidRPr="00570A9F">
        <w:rPr>
          <w:rFonts w:ascii="Arial" w:hAnsi="Arial" w:cs="Arial"/>
        </w:rPr>
        <w:t>EUR</w:t>
      </w:r>
      <w:r w:rsidRPr="00570A9F">
        <w:rPr>
          <w:rFonts w:ascii="Arial" w:hAnsi="Arial" w:cs="Arial"/>
          <w:bCs/>
        </w:rPr>
        <w:t xml:space="preserve">, no kuriem 320 000 EUR ir pašvaldības dotācija, pašvaldības aģentūra Rucavas novada Dunikas ambulance 2021.gadā ieņēmumi un izdevumi plānoti 44 544  </w:t>
      </w:r>
      <w:r w:rsidRPr="00570A9F">
        <w:rPr>
          <w:rFonts w:ascii="Arial" w:hAnsi="Arial" w:cs="Arial"/>
        </w:rPr>
        <w:t>EUR</w:t>
      </w:r>
      <w:r w:rsidRPr="00570A9F">
        <w:rPr>
          <w:rFonts w:ascii="Arial" w:hAnsi="Arial" w:cs="Arial"/>
          <w:bCs/>
        </w:rPr>
        <w:t>, no kuriem   36 074 EUR ir pašvaldības dotācija.</w:t>
      </w:r>
    </w:p>
    <w:p w14:paraId="0999F691" w14:textId="77777777" w:rsidR="00570A9F" w:rsidRPr="00570A9F" w:rsidRDefault="00570A9F" w:rsidP="00570A9F">
      <w:pPr>
        <w:rPr>
          <w:rFonts w:ascii="Arial" w:hAnsi="Arial" w:cs="Arial"/>
          <w:b/>
          <w:bCs/>
          <w:u w:val="single"/>
        </w:rPr>
      </w:pPr>
      <w:r w:rsidRPr="00570A9F">
        <w:rPr>
          <w:rFonts w:ascii="Arial" w:hAnsi="Arial" w:cs="Arial"/>
          <w:b/>
          <w:bCs/>
          <w:u w:val="single"/>
        </w:rPr>
        <w:t>Pašvaldības aizņēmumi un galvojumi</w:t>
      </w:r>
    </w:p>
    <w:p w14:paraId="7294C614" w14:textId="77777777" w:rsidR="00570A9F" w:rsidRPr="00570A9F" w:rsidRDefault="00570A9F" w:rsidP="00570A9F">
      <w:pPr>
        <w:jc w:val="both"/>
        <w:rPr>
          <w:rFonts w:ascii="Arial" w:hAnsi="Arial" w:cs="Arial"/>
        </w:rPr>
      </w:pPr>
      <w:r w:rsidRPr="00570A9F">
        <w:rPr>
          <w:rFonts w:ascii="Arial" w:hAnsi="Arial" w:cs="Arial"/>
          <w:b/>
          <w:bCs/>
        </w:rPr>
        <w:tab/>
      </w:r>
      <w:r w:rsidRPr="00570A9F">
        <w:rPr>
          <w:rFonts w:ascii="Arial" w:hAnsi="Arial" w:cs="Arial"/>
          <w:bCs/>
        </w:rPr>
        <w:t>Saskaņā ar noslēgtiem aizņēmumu līgumiem ar Valsts kasi un plānotajiem projektiem, 2021.gadā  aizņēmumu sadaļa sastāda 4 551 838</w:t>
      </w:r>
      <w:r w:rsidRPr="00570A9F">
        <w:rPr>
          <w:rFonts w:ascii="Arial" w:hAnsi="Arial" w:cs="Arial"/>
        </w:rPr>
        <w:t xml:space="preserve"> EUR.</w:t>
      </w:r>
    </w:p>
    <w:p w14:paraId="507FF051" w14:textId="77777777" w:rsidR="00570A9F" w:rsidRPr="00570A9F" w:rsidRDefault="00570A9F" w:rsidP="00570A9F">
      <w:pPr>
        <w:spacing w:after="120"/>
        <w:ind w:firstLine="720"/>
        <w:jc w:val="both"/>
        <w:rPr>
          <w:rFonts w:ascii="Arial" w:hAnsi="Arial" w:cs="Arial"/>
        </w:rPr>
      </w:pPr>
      <w:r w:rsidRPr="00570A9F">
        <w:rPr>
          <w:rFonts w:ascii="Arial" w:hAnsi="Arial" w:cs="Arial"/>
        </w:rPr>
        <w:t>Pašvaldība 2021.gadā plāno galvojumus 1 345 734 eiro apmērā.</w:t>
      </w:r>
    </w:p>
    <w:p w14:paraId="5733216D" w14:textId="77777777" w:rsidR="00570A9F" w:rsidRPr="00570A9F" w:rsidRDefault="00570A9F" w:rsidP="00570A9F">
      <w:pPr>
        <w:spacing w:after="120"/>
        <w:ind w:firstLine="720"/>
        <w:jc w:val="both"/>
        <w:rPr>
          <w:rFonts w:ascii="Arial" w:hAnsi="Arial" w:cs="Arial"/>
        </w:rPr>
      </w:pPr>
    </w:p>
    <w:p w14:paraId="5F962FCF" w14:textId="77777777" w:rsidR="00570A9F" w:rsidRPr="00570A9F" w:rsidRDefault="00570A9F" w:rsidP="00570A9F">
      <w:pPr>
        <w:spacing w:after="120"/>
        <w:ind w:firstLine="720"/>
        <w:jc w:val="both"/>
        <w:rPr>
          <w:rFonts w:ascii="Arial" w:hAnsi="Arial" w:cs="Arial"/>
          <w:bCs/>
        </w:rPr>
      </w:pPr>
    </w:p>
    <w:p w14:paraId="1FB4F08B" w14:textId="17AF9DDA" w:rsidR="00570A9F" w:rsidRPr="00570A9F" w:rsidRDefault="00570A9F" w:rsidP="00570A9F">
      <w:pPr>
        <w:ind w:firstLine="720"/>
        <w:jc w:val="both"/>
        <w:rPr>
          <w:rFonts w:ascii="Arial" w:hAnsi="Arial" w:cs="Arial"/>
          <w:bCs/>
        </w:rPr>
      </w:pPr>
      <w:r w:rsidRPr="00570A9F">
        <w:rPr>
          <w:rFonts w:ascii="Arial" w:hAnsi="Arial" w:cs="Arial"/>
        </w:rPr>
        <w:t xml:space="preserve">Domes priekšsēdētājs </w:t>
      </w:r>
      <w:r w:rsidRPr="00570A9F">
        <w:rPr>
          <w:rFonts w:ascii="Arial" w:hAnsi="Arial" w:cs="Arial"/>
        </w:rPr>
        <w:tab/>
      </w:r>
      <w:r w:rsidRPr="00570A9F">
        <w:rPr>
          <w:rFonts w:ascii="Arial" w:hAnsi="Arial" w:cs="Arial"/>
        </w:rPr>
        <w:t xml:space="preserve">      </w:t>
      </w:r>
      <w:r w:rsidRPr="00570A9F">
        <w:rPr>
          <w:rFonts w:ascii="Arial" w:eastAsia="Times New Roman" w:hAnsi="Arial" w:cs="Arial"/>
        </w:rPr>
        <w:t>(paraksts*)</w:t>
      </w:r>
      <w:r w:rsidRPr="00570A9F">
        <w:rPr>
          <w:rFonts w:ascii="Arial" w:eastAsia="Times New Roman" w:hAnsi="Arial" w:cs="Arial"/>
        </w:rPr>
        <w:tab/>
      </w:r>
      <w:r w:rsidRPr="00570A9F">
        <w:rPr>
          <w:rFonts w:ascii="Arial" w:hAnsi="Arial" w:cs="Arial"/>
        </w:rPr>
        <w:tab/>
      </w:r>
      <w:r w:rsidRPr="00570A9F">
        <w:rPr>
          <w:rFonts w:ascii="Arial" w:hAnsi="Arial" w:cs="Arial"/>
        </w:rPr>
        <w:tab/>
      </w:r>
      <w:r w:rsidRPr="00570A9F">
        <w:rPr>
          <w:rFonts w:ascii="Arial" w:hAnsi="Arial" w:cs="Arial"/>
        </w:rPr>
        <w:tab/>
      </w:r>
      <w:proofErr w:type="spellStart"/>
      <w:r w:rsidRPr="00570A9F">
        <w:rPr>
          <w:rFonts w:ascii="Arial" w:hAnsi="Arial" w:cs="Arial"/>
        </w:rPr>
        <w:t>A.Priedols</w:t>
      </w:r>
      <w:proofErr w:type="spellEnd"/>
    </w:p>
    <w:p w14:paraId="7B7CBDE3" w14:textId="6B547E8A" w:rsidR="00570A9F" w:rsidRPr="00570A9F" w:rsidRDefault="00570A9F" w:rsidP="00570A9F">
      <w:pPr>
        <w:rPr>
          <w:rFonts w:ascii="Arial" w:hAnsi="Arial" w:cs="Arial"/>
        </w:rPr>
      </w:pPr>
    </w:p>
    <w:p w14:paraId="23876281" w14:textId="1BDAB7C5" w:rsidR="00570A9F" w:rsidRPr="00570A9F" w:rsidRDefault="00570A9F" w:rsidP="00570A9F">
      <w:pPr>
        <w:rPr>
          <w:rFonts w:ascii="Arial" w:hAnsi="Arial" w:cs="Arial"/>
        </w:rPr>
      </w:pPr>
    </w:p>
    <w:p w14:paraId="70A7AAE8" w14:textId="77777777" w:rsidR="00570A9F" w:rsidRPr="00570A9F" w:rsidRDefault="00570A9F" w:rsidP="00570A9F">
      <w:pPr>
        <w:tabs>
          <w:tab w:val="left" w:pos="2775"/>
        </w:tabs>
        <w:jc w:val="center"/>
        <w:rPr>
          <w:rFonts w:ascii="Arial" w:eastAsia="Times New Roman" w:hAnsi="Arial" w:cs="Arial"/>
        </w:rPr>
      </w:pPr>
      <w:bookmarkStart w:id="1" w:name="_Hlk10561098"/>
      <w:r w:rsidRPr="00570A9F">
        <w:rPr>
          <w:rFonts w:ascii="Arial" w:eastAsia="Times New Roman" w:hAnsi="Arial" w:cs="Arial"/>
        </w:rPr>
        <w:t>*ŠIS DOKUMENTS IR PARAKSTĪTS AR DROŠU ELEKTRONISKO PARAKSTU UN SATUR LAIKA ZĪMOGU.</w:t>
      </w:r>
      <w:bookmarkEnd w:id="1"/>
    </w:p>
    <w:p w14:paraId="77DA361E" w14:textId="77777777" w:rsidR="00570A9F" w:rsidRDefault="00570A9F" w:rsidP="00345BFD">
      <w:pPr>
        <w:jc w:val="center"/>
      </w:pPr>
    </w:p>
    <w:sectPr w:rsidR="00570A9F" w:rsidSect="00F81E7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26FF6"/>
    <w:multiLevelType w:val="multilevel"/>
    <w:tmpl w:val="0EC4DE14"/>
    <w:lvl w:ilvl="0">
      <w:start w:val="1"/>
      <w:numFmt w:val="decimal"/>
      <w:lvlText w:val="%1."/>
      <w:lvlJc w:val="left"/>
      <w:pPr>
        <w:tabs>
          <w:tab w:val="num" w:pos="720"/>
        </w:tabs>
        <w:ind w:left="72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4A"/>
    <w:rsid w:val="000555EB"/>
    <w:rsid w:val="00186400"/>
    <w:rsid w:val="00286617"/>
    <w:rsid w:val="00345BFD"/>
    <w:rsid w:val="00475D4A"/>
    <w:rsid w:val="00570A9F"/>
    <w:rsid w:val="00622939"/>
    <w:rsid w:val="00D2188A"/>
    <w:rsid w:val="00DB4860"/>
    <w:rsid w:val="00DF2F4D"/>
    <w:rsid w:val="00F8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05E3"/>
  <w15:chartTrackingRefBased/>
  <w15:docId w15:val="{989D420B-9098-4BF5-BD3D-A1BE02B1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75D4A"/>
    <w:pPr>
      <w:spacing w:after="200" w:line="276" w:lineRule="auto"/>
    </w:pPr>
    <w:rPr>
      <w:rFonts w:ascii="Calibri" w:eastAsia="Calibri" w:hAnsi="Calibri" w:cs="Times New Roman"/>
      <w:lang w:val="lv-LV"/>
    </w:rPr>
  </w:style>
  <w:style w:type="paragraph" w:styleId="Virsraksts1">
    <w:name w:val="heading 1"/>
    <w:aliases w:val="Char Char,Body Text,Char Char Char"/>
    <w:basedOn w:val="Parasts"/>
    <w:next w:val="Parasts"/>
    <w:link w:val="Virsraksts1Rakstz"/>
    <w:qFormat/>
    <w:rsid w:val="00475D4A"/>
    <w:pPr>
      <w:keepNext/>
      <w:spacing w:after="0" w:line="240" w:lineRule="auto"/>
      <w:jc w:val="center"/>
      <w:outlineLvl w:val="0"/>
    </w:pPr>
    <w:rPr>
      <w:rFonts w:ascii="Times New Roman" w:eastAsia="Times New Roman" w:hAnsi="Times New Roman"/>
      <w:b/>
      <w:bCs/>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Char Char Rakstz.,Body Text Rakstz.,Char Char Char Rakstz."/>
    <w:basedOn w:val="Noklusjumarindkopasfonts"/>
    <w:link w:val="Virsraksts1"/>
    <w:rsid w:val="00475D4A"/>
    <w:rPr>
      <w:rFonts w:ascii="Times New Roman" w:eastAsia="Times New Roman" w:hAnsi="Times New Roman" w:cs="Times New Roman"/>
      <w:b/>
      <w:bCs/>
      <w:sz w:val="48"/>
      <w:szCs w:val="24"/>
      <w:lang w:val="en-GB"/>
    </w:rPr>
  </w:style>
  <w:style w:type="character" w:styleId="Hipersaite">
    <w:name w:val="Hyperlink"/>
    <w:uiPriority w:val="99"/>
    <w:unhideWhenUsed/>
    <w:rsid w:val="00475D4A"/>
    <w:rPr>
      <w:color w:val="0000FF"/>
      <w:u w:val="single"/>
    </w:rPr>
  </w:style>
  <w:style w:type="character" w:styleId="Neatrisintapieminana">
    <w:name w:val="Unresolved Mention"/>
    <w:basedOn w:val="Noklusjumarindkopasfonts"/>
    <w:uiPriority w:val="99"/>
    <w:semiHidden/>
    <w:unhideWhenUsed/>
    <w:rsid w:val="00475D4A"/>
    <w:rPr>
      <w:color w:val="605E5C"/>
      <w:shd w:val="clear" w:color="auto" w:fill="E1DFDD"/>
    </w:rPr>
  </w:style>
  <w:style w:type="character" w:styleId="Komentraatsauce">
    <w:name w:val="annotation reference"/>
    <w:basedOn w:val="Noklusjumarindkopasfonts"/>
    <w:uiPriority w:val="99"/>
    <w:semiHidden/>
    <w:unhideWhenUsed/>
    <w:rsid w:val="00286617"/>
    <w:rPr>
      <w:sz w:val="16"/>
      <w:szCs w:val="16"/>
    </w:rPr>
  </w:style>
  <w:style w:type="paragraph" w:styleId="Komentrateksts">
    <w:name w:val="annotation text"/>
    <w:basedOn w:val="Parasts"/>
    <w:link w:val="KomentratekstsRakstz"/>
    <w:uiPriority w:val="99"/>
    <w:semiHidden/>
    <w:unhideWhenUsed/>
    <w:rsid w:val="0028661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86617"/>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286617"/>
    <w:rPr>
      <w:b/>
      <w:bCs/>
    </w:rPr>
  </w:style>
  <w:style w:type="character" w:customStyle="1" w:styleId="KomentratmaRakstz">
    <w:name w:val="Komentāra tēma Rakstz."/>
    <w:basedOn w:val="KomentratekstsRakstz"/>
    <w:link w:val="Komentratma"/>
    <w:uiPriority w:val="99"/>
    <w:semiHidden/>
    <w:rsid w:val="00286617"/>
    <w:rPr>
      <w:rFonts w:ascii="Calibri" w:eastAsia="Calibri" w:hAnsi="Calibri" w:cs="Times New Roman"/>
      <w:b/>
      <w:bCs/>
      <w:sz w:val="20"/>
      <w:szCs w:val="20"/>
      <w:lang w:val="lv-LV"/>
    </w:rPr>
  </w:style>
  <w:style w:type="paragraph" w:styleId="Sarakstarindkopa">
    <w:name w:val="List Paragraph"/>
    <w:aliases w:val="Strip,2,H&amp;P List Paragraph,Normal bullet 2,Bullet list,Syle 1,Saraksta rindkopa1"/>
    <w:basedOn w:val="Parasts"/>
    <w:link w:val="SarakstarindkopaRakstz"/>
    <w:uiPriority w:val="99"/>
    <w:qFormat/>
    <w:rsid w:val="00570A9F"/>
    <w:pPr>
      <w:spacing w:after="0" w:line="240" w:lineRule="auto"/>
      <w:ind w:left="720"/>
      <w:contextualSpacing/>
    </w:pPr>
    <w:rPr>
      <w:rFonts w:ascii="Times New Roman" w:eastAsia="Times New Roman" w:hAnsi="Times New Roman"/>
      <w:sz w:val="24"/>
      <w:szCs w:val="24"/>
      <w:lang w:val="en-US"/>
    </w:rPr>
  </w:style>
  <w:style w:type="character" w:customStyle="1" w:styleId="SarakstarindkopaRakstz">
    <w:name w:val="Saraksta rindkopa Rakstz."/>
    <w:aliases w:val="Strip Rakstz.,2 Rakstz.,H&amp;P List Paragraph Rakstz.,Normal bullet 2 Rakstz.,Bullet list Rakstz.,Syle 1 Rakstz.,Saraksta rindkopa1 Rakstz."/>
    <w:basedOn w:val="Noklusjumarindkopasfonts"/>
    <w:link w:val="Sarakstarindkopa"/>
    <w:uiPriority w:val="99"/>
    <w:qFormat/>
    <w:rsid w:val="00570A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kn.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Tabulas_publ_parsk_2019.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lv-LV"/>
              <a:t>Dienvidkurzemes novada /konsolidētais/ pašvaldības ieņēmumu veidi 2021.gadā %</a:t>
            </a:r>
          </a:p>
        </c:rich>
      </c:tx>
      <c:overlay val="0"/>
    </c:title>
    <c:autoTitleDeleted val="0"/>
    <c:view3D>
      <c:rotX val="30"/>
      <c:rotY val="30"/>
      <c:rAngAx val="0"/>
      <c:perspective val="0"/>
    </c:view3D>
    <c:floor>
      <c:thickness val="0"/>
    </c:floor>
    <c:sideWall>
      <c:thickness val="0"/>
    </c:sideWall>
    <c:backWall>
      <c:thickness val="0"/>
    </c:backWall>
    <c:plotArea>
      <c:layout>
        <c:manualLayout>
          <c:layoutTarget val="inner"/>
          <c:xMode val="edge"/>
          <c:yMode val="edge"/>
          <c:x val="9.685078453605489E-2"/>
          <c:y val="0.17131361560640387"/>
          <c:w val="0.89557629370402791"/>
          <c:h val="0.7669808665221195"/>
        </c:manualLayout>
      </c:layout>
      <c:pie3DChart>
        <c:varyColors val="1"/>
        <c:ser>
          <c:idx val="0"/>
          <c:order val="0"/>
          <c:tx>
            <c:strRef>
              <c:f>graf2019!$S$150</c:f>
              <c:strCache>
                <c:ptCount val="1"/>
                <c:pt idx="0">
                  <c:v>2020.gada izpilde, Eur</c:v>
                </c:pt>
              </c:strCache>
            </c:strRef>
          </c:tx>
          <c:explosion val="25"/>
          <c:dPt>
            <c:idx val="0"/>
            <c:bubble3D val="0"/>
            <c:spPr>
              <a:solidFill>
                <a:srgbClr val="CCFF66"/>
              </a:solidFill>
            </c:spPr>
            <c:extLst>
              <c:ext xmlns:c16="http://schemas.microsoft.com/office/drawing/2014/chart" uri="{C3380CC4-5D6E-409C-BE32-E72D297353CC}">
                <c16:uniqueId val="{00000001-065F-4CD4-B409-BB77CE211CEC}"/>
              </c:ext>
            </c:extLst>
          </c:dPt>
          <c:dPt>
            <c:idx val="1"/>
            <c:bubble3D val="0"/>
            <c:spPr>
              <a:solidFill>
                <a:srgbClr val="13D79A"/>
              </a:solidFill>
            </c:spPr>
            <c:extLst>
              <c:ext xmlns:c16="http://schemas.microsoft.com/office/drawing/2014/chart" uri="{C3380CC4-5D6E-409C-BE32-E72D297353CC}">
                <c16:uniqueId val="{00000003-065F-4CD4-B409-BB77CE211CEC}"/>
              </c:ext>
            </c:extLst>
          </c:dPt>
          <c:dPt>
            <c:idx val="2"/>
            <c:bubble3D val="0"/>
            <c:spPr>
              <a:solidFill>
                <a:srgbClr val="0EC230"/>
              </a:solidFill>
            </c:spPr>
            <c:extLst>
              <c:ext xmlns:c16="http://schemas.microsoft.com/office/drawing/2014/chart" uri="{C3380CC4-5D6E-409C-BE32-E72D297353CC}">
                <c16:uniqueId val="{00000005-065F-4CD4-B409-BB77CE211CEC}"/>
              </c:ext>
            </c:extLst>
          </c:dPt>
          <c:dPt>
            <c:idx val="3"/>
            <c:bubble3D val="0"/>
            <c:spPr>
              <a:solidFill>
                <a:srgbClr val="9DCE02"/>
              </a:solidFill>
            </c:spPr>
            <c:extLst>
              <c:ext xmlns:c16="http://schemas.microsoft.com/office/drawing/2014/chart" uri="{C3380CC4-5D6E-409C-BE32-E72D297353CC}">
                <c16:uniqueId val="{00000007-065F-4CD4-B409-BB77CE211CEC}"/>
              </c:ext>
            </c:extLst>
          </c:dPt>
          <c:dLbls>
            <c:dLbl>
              <c:idx val="0"/>
              <c:layout>
                <c:manualLayout>
                  <c:x val="-0.13337031937221769"/>
                  <c:y val="-0.15110945953184424"/>
                </c:manualLayout>
              </c:layout>
              <c:numFmt formatCode="0.0%"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5F-4CD4-B409-BB77CE211CEC}"/>
                </c:ext>
              </c:extLst>
            </c:dLbl>
            <c:dLbl>
              <c:idx val="1"/>
              <c:layout>
                <c:manualLayout>
                  <c:x val="5.4593175853018372E-2"/>
                  <c:y val="-0.13605442176870755"/>
                </c:manualLayout>
              </c:layout>
              <c:numFmt formatCode="0.0%" sourceLinked="0"/>
              <c:spPr/>
              <c:txPr>
                <a:bodyPr/>
                <a:lstStyle/>
                <a:p>
                  <a:pPr>
                    <a:defRPr sz="10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65F-4CD4-B409-BB77CE211CEC}"/>
                </c:ext>
              </c:extLst>
            </c:dLbl>
            <c:dLbl>
              <c:idx val="2"/>
              <c:layout>
                <c:manualLayout>
                  <c:x val="0.27345093111238855"/>
                  <c:y val="-7.056684878675884E-2"/>
                </c:manualLayout>
              </c:layout>
              <c:tx>
                <c:rich>
                  <a:bodyPr/>
                  <a:lstStyle/>
                  <a:p>
                    <a:pPr>
                      <a:defRPr sz="1000" b="1" i="0" u="none" strike="noStrike" baseline="0">
                        <a:solidFill>
                          <a:srgbClr val="000000"/>
                        </a:solidFill>
                        <a:latin typeface="Times New Roman"/>
                        <a:ea typeface="Times New Roman"/>
                        <a:cs typeface="Times New Roman"/>
                      </a:defRPr>
                    </a:pPr>
                    <a:fld id="{D70E9977-F5DE-45FF-A11D-42781252DFED}" type="CATEGORYNAME">
                      <a:rPr lang="en-US"/>
                      <a:pPr>
                        <a:defRPr sz="1000" b="1" i="0" u="none" strike="noStrike" baseline="0">
                          <a:solidFill>
                            <a:srgbClr val="000000"/>
                          </a:solidFill>
                          <a:latin typeface="Times New Roman"/>
                          <a:ea typeface="Times New Roman"/>
                          <a:cs typeface="Times New Roman"/>
                        </a:defRPr>
                      </a:pPr>
                      <a:t>[KATEGORIJAS NOSAUKUMS]</a:t>
                    </a:fld>
                    <a:r>
                      <a:rPr lang="en-US" baseline="0"/>
                      <a:t>
50.3%</a:t>
                    </a:r>
                  </a:p>
                </c:rich>
              </c:tx>
              <c:numFmt formatCode="0.0%" sourceLinked="0"/>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65F-4CD4-B409-BB77CE211CEC}"/>
                </c:ext>
              </c:extLst>
            </c:dLbl>
            <c:dLbl>
              <c:idx val="3"/>
              <c:layout>
                <c:manualLayout>
                  <c:x val="1.5762914837220417E-2"/>
                  <c:y val="8.7047072547359203E-2"/>
                </c:manualLayout>
              </c:layout>
              <c:numFmt formatCode="0.0%" sourceLinked="0"/>
              <c:spPr/>
              <c:txPr>
                <a:bodyPr/>
                <a:lstStyle/>
                <a:p>
                  <a:pPr>
                    <a:defRPr sz="10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65F-4CD4-B409-BB77CE211CEC}"/>
                </c:ext>
              </c:extLst>
            </c:dLbl>
            <c:numFmt formatCode="0.0%" sourceLinked="0"/>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graf2019!$M$151:$M$154</c:f>
              <c:strCache>
                <c:ptCount val="4"/>
                <c:pt idx="0">
                  <c:v>Nodokļu ieņēmumi</c:v>
                </c:pt>
                <c:pt idx="1">
                  <c:v>Maksas pakalpojumi un citi pašu ieņēmumi</c:v>
                </c:pt>
                <c:pt idx="2">
                  <c:v>Transferti</c:v>
                </c:pt>
                <c:pt idx="3">
                  <c:v>Nenodokļu ieņēmumi</c:v>
                </c:pt>
              </c:strCache>
            </c:strRef>
          </c:cat>
          <c:val>
            <c:numRef>
              <c:f>graf2019!$S$151:$S$154</c:f>
              <c:numCache>
                <c:formatCode>#,##0</c:formatCode>
                <c:ptCount val="4"/>
                <c:pt idx="0">
                  <c:v>19548201</c:v>
                </c:pt>
                <c:pt idx="1">
                  <c:v>1927721</c:v>
                </c:pt>
                <c:pt idx="2">
                  <c:v>23924089</c:v>
                </c:pt>
                <c:pt idx="3">
                  <c:v>2092923</c:v>
                </c:pt>
              </c:numCache>
            </c:numRef>
          </c:val>
          <c:extLst>
            <c:ext xmlns:c16="http://schemas.microsoft.com/office/drawing/2014/chart" uri="{C3380CC4-5D6E-409C-BE32-E72D297353CC}">
              <c16:uniqueId val="{00000008-065F-4CD4-B409-BB77CE211CEC}"/>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lv-LV"/>
              <a:t>Dienvidkurzemes novada pašvaldības izdevumu apjoms % pa funkcionālajām kategorijām 2021.gadā </a:t>
            </a:r>
          </a:p>
        </c:rich>
      </c:tx>
      <c:overlay val="0"/>
    </c:title>
    <c:autoTitleDeleted val="0"/>
    <c:view3D>
      <c:rotX val="30"/>
      <c:rotY val="100"/>
      <c:rAngAx val="0"/>
      <c:perspective val="0"/>
    </c:view3D>
    <c:floor>
      <c:thickness val="0"/>
    </c:floor>
    <c:sideWall>
      <c:thickness val="0"/>
    </c:sideWall>
    <c:backWall>
      <c:thickness val="0"/>
    </c:backWall>
    <c:plotArea>
      <c:layout>
        <c:manualLayout>
          <c:layoutTarget val="inner"/>
          <c:xMode val="edge"/>
          <c:yMode val="edge"/>
          <c:x val="8.4621639489633929E-2"/>
          <c:y val="0.20130183727034121"/>
          <c:w val="0.83075672102073217"/>
          <c:h val="0.64989632545931764"/>
        </c:manualLayout>
      </c:layout>
      <c:pie3DChart>
        <c:varyColors val="1"/>
        <c:ser>
          <c:idx val="0"/>
          <c:order val="0"/>
          <c:explosion val="25"/>
          <c:dPt>
            <c:idx val="0"/>
            <c:bubble3D val="0"/>
            <c:spPr>
              <a:solidFill>
                <a:srgbClr val="92D050"/>
              </a:solidFill>
            </c:spPr>
            <c:extLst>
              <c:ext xmlns:c16="http://schemas.microsoft.com/office/drawing/2014/chart" uri="{C3380CC4-5D6E-409C-BE32-E72D297353CC}">
                <c16:uniqueId val="{00000001-B765-4904-955E-A86279D30A49}"/>
              </c:ext>
            </c:extLst>
          </c:dPt>
          <c:dPt>
            <c:idx val="1"/>
            <c:bubble3D val="0"/>
            <c:spPr>
              <a:solidFill>
                <a:schemeClr val="accent3">
                  <a:lumMod val="50000"/>
                </a:schemeClr>
              </a:solidFill>
            </c:spPr>
            <c:extLst>
              <c:ext xmlns:c16="http://schemas.microsoft.com/office/drawing/2014/chart" uri="{C3380CC4-5D6E-409C-BE32-E72D297353CC}">
                <c16:uniqueId val="{00000003-B765-4904-955E-A86279D30A49}"/>
              </c:ext>
            </c:extLst>
          </c:dPt>
          <c:dPt>
            <c:idx val="2"/>
            <c:bubble3D val="0"/>
            <c:spPr>
              <a:solidFill>
                <a:srgbClr val="92D050"/>
              </a:solidFill>
            </c:spPr>
            <c:extLst>
              <c:ext xmlns:c16="http://schemas.microsoft.com/office/drawing/2014/chart" uri="{C3380CC4-5D6E-409C-BE32-E72D297353CC}">
                <c16:uniqueId val="{00000005-B765-4904-955E-A86279D30A49}"/>
              </c:ext>
            </c:extLst>
          </c:dPt>
          <c:dPt>
            <c:idx val="3"/>
            <c:bubble3D val="0"/>
            <c:spPr>
              <a:solidFill>
                <a:schemeClr val="accent3">
                  <a:lumMod val="75000"/>
                </a:schemeClr>
              </a:solidFill>
            </c:spPr>
            <c:extLst>
              <c:ext xmlns:c16="http://schemas.microsoft.com/office/drawing/2014/chart" uri="{C3380CC4-5D6E-409C-BE32-E72D297353CC}">
                <c16:uniqueId val="{00000007-B765-4904-955E-A86279D30A49}"/>
              </c:ext>
            </c:extLst>
          </c:dPt>
          <c:dPt>
            <c:idx val="4"/>
            <c:bubble3D val="0"/>
            <c:spPr>
              <a:solidFill>
                <a:srgbClr val="04EC7E"/>
              </a:solidFill>
            </c:spPr>
            <c:extLst>
              <c:ext xmlns:c16="http://schemas.microsoft.com/office/drawing/2014/chart" uri="{C3380CC4-5D6E-409C-BE32-E72D297353CC}">
                <c16:uniqueId val="{00000009-B765-4904-955E-A86279D30A49}"/>
              </c:ext>
            </c:extLst>
          </c:dPt>
          <c:dPt>
            <c:idx val="5"/>
            <c:bubble3D val="0"/>
            <c:spPr>
              <a:solidFill>
                <a:schemeClr val="accent3">
                  <a:lumMod val="60000"/>
                  <a:lumOff val="40000"/>
                </a:schemeClr>
              </a:solidFill>
            </c:spPr>
            <c:extLst>
              <c:ext xmlns:c16="http://schemas.microsoft.com/office/drawing/2014/chart" uri="{C3380CC4-5D6E-409C-BE32-E72D297353CC}">
                <c16:uniqueId val="{0000000B-B765-4904-955E-A86279D30A49}"/>
              </c:ext>
            </c:extLst>
          </c:dPt>
          <c:dPt>
            <c:idx val="6"/>
            <c:bubble3D val="0"/>
            <c:spPr>
              <a:solidFill>
                <a:srgbClr val="99FF33"/>
              </a:solidFill>
            </c:spPr>
            <c:extLst>
              <c:ext xmlns:c16="http://schemas.microsoft.com/office/drawing/2014/chart" uri="{C3380CC4-5D6E-409C-BE32-E72D297353CC}">
                <c16:uniqueId val="{0000000D-B765-4904-955E-A86279D30A49}"/>
              </c:ext>
            </c:extLst>
          </c:dPt>
          <c:dLbls>
            <c:dLbl>
              <c:idx val="0"/>
              <c:layout>
                <c:manualLayout>
                  <c:x val="-8.5753585350282109E-3"/>
                  <c:y val="-0.12829374991764567"/>
                </c:manualLayout>
              </c:layout>
              <c:numFmt formatCode="0.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53450396815099"/>
                      <c:h val="0.26791795060998674"/>
                    </c:manualLayout>
                  </c15:layout>
                </c:ext>
                <c:ext xmlns:c16="http://schemas.microsoft.com/office/drawing/2014/chart" uri="{C3380CC4-5D6E-409C-BE32-E72D297353CC}">
                  <c16:uniqueId val="{00000001-B765-4904-955E-A86279D30A49}"/>
                </c:ext>
              </c:extLst>
            </c:dLbl>
            <c:dLbl>
              <c:idx val="1"/>
              <c:layout>
                <c:manualLayout>
                  <c:x val="-3.3670147775875743E-4"/>
                  <c:y val="-2.9853710956897861E-3"/>
                </c:manualLayout>
              </c:layout>
              <c:numFmt formatCode="0.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765-4904-955E-A86279D30A49}"/>
                </c:ext>
              </c:extLst>
            </c:dLbl>
            <c:dLbl>
              <c:idx val="2"/>
              <c:layout>
                <c:manualLayout>
                  <c:x val="-8.1859035913193878E-2"/>
                  <c:y val="-8.7655374360740092E-17"/>
                </c:manualLayout>
              </c:layout>
              <c:numFmt formatCode="0.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765-4904-955E-A86279D30A49}"/>
                </c:ext>
              </c:extLst>
            </c:dLbl>
            <c:dLbl>
              <c:idx val="3"/>
              <c:layout>
                <c:manualLayout>
                  <c:x val="9.6012955532832595E-2"/>
                  <c:y val="2.3633529791563614E-2"/>
                </c:manualLayout>
              </c:layout>
              <c:numFmt formatCode="0.00%" sourceLinked="0"/>
              <c:spPr/>
              <c:txPr>
                <a:bodyPr/>
                <a:lstStyle/>
                <a:p>
                  <a:pPr>
                    <a:defRPr sz="9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315754779169414"/>
                      <c:h val="0.25522352378675589"/>
                    </c:manualLayout>
                  </c15:layout>
                </c:ext>
                <c:ext xmlns:c16="http://schemas.microsoft.com/office/drawing/2014/chart" uri="{C3380CC4-5D6E-409C-BE32-E72D297353CC}">
                  <c16:uniqueId val="{00000007-B765-4904-955E-A86279D30A49}"/>
                </c:ext>
              </c:extLst>
            </c:dLbl>
            <c:dLbl>
              <c:idx val="4"/>
              <c:layout>
                <c:manualLayout>
                  <c:x val="2.9555194194469725E-2"/>
                  <c:y val="3.6937621489395417E-2"/>
                </c:manualLayout>
              </c:layout>
              <c:tx>
                <c:rich>
                  <a:bodyPr/>
                  <a:lstStyle/>
                  <a:p>
                    <a:pPr>
                      <a:defRPr sz="900" b="1" i="0" u="none" strike="noStrike" baseline="0">
                        <a:solidFill>
                          <a:srgbClr val="000000"/>
                        </a:solidFill>
                        <a:latin typeface="Times New Roman"/>
                        <a:ea typeface="Times New Roman"/>
                        <a:cs typeface="Times New Roman"/>
                      </a:defRPr>
                    </a:pPr>
                    <a:r>
                      <a:rPr lang="en-US"/>
                      <a:t>Veselība un sociālā aizsardzība
8.76%</a:t>
                    </a:r>
                  </a:p>
                </c:rich>
              </c:tx>
              <c:numFmt formatCode="0.00%" sourceLinked="0"/>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765-4904-955E-A86279D30A49}"/>
                </c:ext>
              </c:extLst>
            </c:dLbl>
            <c:dLbl>
              <c:idx val="5"/>
              <c:layout>
                <c:manualLayout>
                  <c:x val="-3.475042326904243E-2"/>
                  <c:y val="-2.5345771305339604E-2"/>
                </c:manualLayout>
              </c:layout>
              <c:numFmt formatCode="0.00%" sourceLinked="0"/>
              <c:spPr/>
              <c:txPr>
                <a:bodyPr/>
                <a:lstStyle/>
                <a:p>
                  <a:pPr>
                    <a:defRPr sz="9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765-4904-955E-A86279D30A49}"/>
                </c:ext>
              </c:extLst>
            </c:dLbl>
            <c:dLbl>
              <c:idx val="6"/>
              <c:layout>
                <c:manualLayout>
                  <c:x val="5.4185270348127944E-2"/>
                  <c:y val="5.2564843451465532E-2"/>
                </c:manualLayout>
              </c:layout>
              <c:numFmt formatCode="0.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765-4904-955E-A86279D30A49}"/>
                </c:ext>
              </c:extLst>
            </c:dLbl>
            <c:dLbl>
              <c:idx val="7"/>
              <c:layout>
                <c:manualLayout>
                  <c:x val="0"/>
                  <c:y val="-4.6158407481767701E-2"/>
                </c:manualLayout>
              </c:layout>
              <c:numFmt formatCode="0.00%" sourceLinked="0"/>
              <c:spPr/>
              <c:txPr>
                <a:bodyPr/>
                <a:lstStyle/>
                <a:p>
                  <a:pPr>
                    <a:defRPr sz="900" b="1"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B765-4904-955E-A86279D30A49}"/>
                </c:ext>
              </c:extLst>
            </c:dLbl>
            <c:numFmt formatCode="0.00%" sourceLinked="0"/>
            <c:spPr>
              <a:noFill/>
              <a:ln w="25400">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graf2019!$B$223:$B$229</c:f>
              <c:strCache>
                <c:ptCount val="7"/>
                <c:pt idx="0">
                  <c:v>Vispārējie vadības dienesti</c:v>
                </c:pt>
                <c:pt idx="1">
                  <c:v>Sabiedriskā kārtība un drošība</c:v>
                </c:pt>
                <c:pt idx="2">
                  <c:v>Ekonomiskā darbība un vides aizsardzība</c:v>
                </c:pt>
                <c:pt idx="3">
                  <c:v>Teritoriju un mājokļu apsaimniekošana</c:v>
                </c:pt>
                <c:pt idx="4">
                  <c:v>Veselība un sociālā aizsardzība</c:v>
                </c:pt>
                <c:pt idx="5">
                  <c:v>Atpūta, kultūra un reliģija</c:v>
                </c:pt>
                <c:pt idx="6">
                  <c:v>Izglītība</c:v>
                </c:pt>
              </c:strCache>
            </c:strRef>
          </c:cat>
          <c:val>
            <c:numRef>
              <c:f>graf2019!$E$223:$E$229</c:f>
              <c:numCache>
                <c:formatCode>General</c:formatCode>
                <c:ptCount val="7"/>
                <c:pt idx="0">
                  <c:v>5955593</c:v>
                </c:pt>
                <c:pt idx="1">
                  <c:v>645621</c:v>
                </c:pt>
                <c:pt idx="2">
                  <c:v>6632690</c:v>
                </c:pt>
                <c:pt idx="3">
                  <c:v>13149119</c:v>
                </c:pt>
                <c:pt idx="4">
                  <c:v>5113420</c:v>
                </c:pt>
                <c:pt idx="5">
                  <c:v>5087377</c:v>
                </c:pt>
                <c:pt idx="6">
                  <c:v>21712219</c:v>
                </c:pt>
              </c:numCache>
            </c:numRef>
          </c:val>
          <c:extLst>
            <c:ext xmlns:c16="http://schemas.microsoft.com/office/drawing/2014/chart" uri="{C3380CC4-5D6E-409C-BE32-E72D297353CC}">
              <c16:uniqueId val="{0000000F-B765-4904-955E-A86279D30A49}"/>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1061</Words>
  <Characters>6053</Characters>
  <Application>Microsoft Office Word</Application>
  <DocSecurity>0</DocSecurity>
  <Lines>50</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Kļava</dc:creator>
  <cp:keywords/>
  <dc:description/>
  <cp:lastModifiedBy>Iveta Kļava</cp:lastModifiedBy>
  <cp:revision>2</cp:revision>
  <cp:lastPrinted>2021-06-29T08:40:00Z</cp:lastPrinted>
  <dcterms:created xsi:type="dcterms:W3CDTF">2021-08-30T15:41:00Z</dcterms:created>
  <dcterms:modified xsi:type="dcterms:W3CDTF">2021-08-30T15:41:00Z</dcterms:modified>
</cp:coreProperties>
</file>