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0F49" w14:textId="762963C5" w:rsidR="000E6AC4" w:rsidRDefault="000E6AC4" w:rsidP="000E6AC4">
      <w:pPr>
        <w:shd w:val="clear" w:color="auto" w:fill="FFFFFF"/>
        <w:spacing w:before="270" w:after="375" w:line="27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E6AC4" w:rsidRPr="008F6F2D" w14:paraId="60EA183F" w14:textId="77777777" w:rsidTr="000436CF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4F1DBC" w14:textId="77777777" w:rsidR="000E6AC4" w:rsidRPr="008F6F2D" w:rsidRDefault="000E6AC4" w:rsidP="000436CF">
            <w:pPr>
              <w:keepNext/>
              <w:spacing w:before="120" w:after="120"/>
              <w:ind w:right="-2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36"/>
                <w:szCs w:val="36"/>
              </w:rPr>
            </w:pPr>
            <w:r w:rsidRPr="008F6F2D">
              <w:rPr>
                <w:rFonts w:ascii="Arial" w:hAnsi="Arial" w:cs="Arial"/>
                <w:b/>
                <w:noProof/>
                <w:kern w:val="32"/>
                <w:sz w:val="36"/>
                <w:szCs w:val="36"/>
              </w:rPr>
              <w:drawing>
                <wp:inline distT="0" distB="0" distL="0" distR="0" wp14:anchorId="0303728E" wp14:editId="364E5541">
                  <wp:extent cx="518160" cy="762000"/>
                  <wp:effectExtent l="0" t="0" r="0" b="0"/>
                  <wp:docPr id="1" name="Attēls 1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34BAAB" w14:textId="77777777" w:rsidR="000E6AC4" w:rsidRPr="008F6F2D" w:rsidRDefault="000E6AC4" w:rsidP="000436CF">
            <w:pPr>
              <w:keepNext/>
              <w:spacing w:before="120" w:after="120"/>
              <w:ind w:right="-2"/>
              <w:jc w:val="center"/>
              <w:outlineLvl w:val="0"/>
              <w:rPr>
                <w:rFonts w:ascii="Arial" w:hAnsi="Arial" w:cs="Arial"/>
                <w:kern w:val="32"/>
                <w:sz w:val="28"/>
                <w:szCs w:val="28"/>
              </w:rPr>
            </w:pPr>
            <w:r w:rsidRPr="008F6F2D">
              <w:rPr>
                <w:rFonts w:ascii="Arial" w:hAnsi="Arial" w:cs="Arial"/>
                <w:kern w:val="32"/>
                <w:sz w:val="28"/>
                <w:szCs w:val="28"/>
              </w:rPr>
              <w:t>Dienvidkurzemes novada pašvaldība</w:t>
            </w:r>
          </w:p>
        </w:tc>
      </w:tr>
    </w:tbl>
    <w:p w14:paraId="0FB118E8" w14:textId="77777777" w:rsidR="000E6AC4" w:rsidRPr="008F6F2D" w:rsidRDefault="000E6AC4" w:rsidP="000E6AC4">
      <w:pPr>
        <w:jc w:val="center"/>
        <w:rPr>
          <w:rFonts w:ascii="Arial" w:hAnsi="Arial" w:cs="Arial"/>
        </w:rPr>
      </w:pPr>
      <w:proofErr w:type="spellStart"/>
      <w:r w:rsidRPr="008F6F2D">
        <w:rPr>
          <w:rFonts w:ascii="Arial" w:hAnsi="Arial" w:cs="Arial"/>
        </w:rPr>
        <w:t>Lielā</w:t>
      </w:r>
      <w:proofErr w:type="spellEnd"/>
      <w:r w:rsidRPr="008F6F2D">
        <w:rPr>
          <w:rFonts w:ascii="Arial" w:hAnsi="Arial" w:cs="Arial"/>
        </w:rPr>
        <w:t xml:space="preserve"> </w:t>
      </w:r>
      <w:proofErr w:type="spellStart"/>
      <w:r w:rsidRPr="008F6F2D">
        <w:rPr>
          <w:rFonts w:ascii="Arial" w:hAnsi="Arial" w:cs="Arial"/>
        </w:rPr>
        <w:t>iela</w:t>
      </w:r>
      <w:proofErr w:type="spellEnd"/>
      <w:r w:rsidRPr="008F6F2D">
        <w:rPr>
          <w:rFonts w:ascii="Arial" w:hAnsi="Arial" w:cs="Arial"/>
        </w:rPr>
        <w:t xml:space="preserve"> 76, </w:t>
      </w:r>
      <w:proofErr w:type="spellStart"/>
      <w:r w:rsidRPr="008F6F2D">
        <w:rPr>
          <w:rFonts w:ascii="Arial" w:hAnsi="Arial" w:cs="Arial"/>
        </w:rPr>
        <w:t>Grobiņa</w:t>
      </w:r>
      <w:proofErr w:type="spellEnd"/>
      <w:r w:rsidRPr="008F6F2D">
        <w:rPr>
          <w:rFonts w:ascii="Arial" w:hAnsi="Arial" w:cs="Arial"/>
        </w:rPr>
        <w:t xml:space="preserve">, Dienvidkurzemes </w:t>
      </w:r>
      <w:proofErr w:type="spellStart"/>
      <w:r w:rsidRPr="008F6F2D">
        <w:rPr>
          <w:rFonts w:ascii="Arial" w:hAnsi="Arial" w:cs="Arial"/>
        </w:rPr>
        <w:t>novads</w:t>
      </w:r>
      <w:proofErr w:type="spellEnd"/>
      <w:r w:rsidRPr="008F6F2D">
        <w:rPr>
          <w:rFonts w:ascii="Arial" w:hAnsi="Arial" w:cs="Arial"/>
        </w:rPr>
        <w:t xml:space="preserve">, LV-3430, </w:t>
      </w:r>
      <w:proofErr w:type="spellStart"/>
      <w:r w:rsidRPr="008F6F2D">
        <w:rPr>
          <w:rFonts w:ascii="Arial" w:hAnsi="Arial" w:cs="Arial"/>
        </w:rPr>
        <w:t>reģistrācijas</w:t>
      </w:r>
      <w:proofErr w:type="spellEnd"/>
      <w:r w:rsidRPr="008F6F2D">
        <w:rPr>
          <w:rFonts w:ascii="Arial" w:hAnsi="Arial" w:cs="Arial"/>
        </w:rPr>
        <w:t xml:space="preserve"> Nr. 90000058625,                       </w:t>
      </w:r>
    </w:p>
    <w:p w14:paraId="181544F7" w14:textId="77777777" w:rsidR="000E6AC4" w:rsidRPr="008F6F2D" w:rsidRDefault="000E6AC4" w:rsidP="000E6AC4">
      <w:pPr>
        <w:jc w:val="center"/>
        <w:rPr>
          <w:rFonts w:ascii="Arial" w:hAnsi="Arial" w:cs="Arial"/>
        </w:rPr>
      </w:pPr>
      <w:proofErr w:type="spellStart"/>
      <w:r w:rsidRPr="008F6F2D">
        <w:rPr>
          <w:rFonts w:ascii="Arial" w:hAnsi="Arial" w:cs="Arial"/>
        </w:rPr>
        <w:t>tālr</w:t>
      </w:r>
      <w:proofErr w:type="spellEnd"/>
      <w:r w:rsidRPr="008F6F2D">
        <w:rPr>
          <w:rFonts w:ascii="Arial" w:hAnsi="Arial" w:cs="Arial"/>
        </w:rPr>
        <w:t>. 63490458, e-pasts pasts@dkn.lv, www.dkn.lv</w:t>
      </w:r>
    </w:p>
    <w:p w14:paraId="7C66127F" w14:textId="77777777" w:rsidR="000E6AC4" w:rsidRDefault="000E6AC4" w:rsidP="009244FA">
      <w:pPr>
        <w:shd w:val="clear" w:color="auto" w:fill="FFFFFF"/>
        <w:spacing w:before="270" w:after="375" w:line="270" w:lineRule="atLeast"/>
        <w:jc w:val="right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2D88B7B3" w14:textId="77777777" w:rsidR="000E6AC4" w:rsidRDefault="000E6AC4" w:rsidP="009244FA">
      <w:pPr>
        <w:shd w:val="clear" w:color="auto" w:fill="FFFFFF"/>
        <w:spacing w:before="270" w:after="375" w:line="270" w:lineRule="atLeast"/>
        <w:jc w:val="right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0C5FC683" w14:textId="77777777" w:rsidR="000E6AC4" w:rsidRPr="008F6F2D" w:rsidRDefault="000E6AC4" w:rsidP="000E6AC4">
      <w:pPr>
        <w:keepNext/>
        <w:jc w:val="center"/>
        <w:outlineLvl w:val="0"/>
        <w:rPr>
          <w:rFonts w:ascii="Arial" w:hAnsi="Arial" w:cs="Arial"/>
          <w:b/>
          <w:bCs/>
          <w:color w:val="000000"/>
          <w:kern w:val="36"/>
        </w:rPr>
      </w:pPr>
      <w:r w:rsidRPr="008F6F2D">
        <w:rPr>
          <w:rFonts w:ascii="Arial" w:hAnsi="Arial" w:cs="Arial"/>
          <w:b/>
          <w:bCs/>
          <w:color w:val="000000"/>
          <w:kern w:val="36"/>
        </w:rPr>
        <w:t xml:space="preserve">DIENVIDKURZEMES NOVADA PAŠVALDĪBAS </w:t>
      </w:r>
    </w:p>
    <w:p w14:paraId="514F37AD" w14:textId="76D2341C" w:rsidR="000E6AC4" w:rsidRPr="008F6F2D" w:rsidRDefault="000E6AC4" w:rsidP="000E6AC4">
      <w:pPr>
        <w:keepNext/>
        <w:jc w:val="center"/>
        <w:outlineLvl w:val="0"/>
        <w:rPr>
          <w:rFonts w:ascii="Arial" w:hAnsi="Arial" w:cs="Arial"/>
          <w:b/>
          <w:color w:val="000000"/>
        </w:rPr>
      </w:pPr>
      <w:r w:rsidRPr="008F6F2D">
        <w:rPr>
          <w:rFonts w:ascii="Arial" w:hAnsi="Arial" w:cs="Arial"/>
          <w:b/>
          <w:color w:val="000000"/>
        </w:rPr>
        <w:t xml:space="preserve">SAISTOŠIE NOTEIKUMI NR. </w:t>
      </w:r>
      <w:r>
        <w:rPr>
          <w:rFonts w:ascii="Arial" w:hAnsi="Arial" w:cs="Arial"/>
          <w:b/>
          <w:color w:val="000000"/>
        </w:rPr>
        <w:t>15</w:t>
      </w:r>
    </w:p>
    <w:p w14:paraId="54FB9B74" w14:textId="77777777" w:rsidR="009244FA" w:rsidRPr="009244FA" w:rsidRDefault="009244FA" w:rsidP="009244FA">
      <w:pPr>
        <w:shd w:val="clear" w:color="auto" w:fill="FFFFFF"/>
        <w:spacing w:before="810" w:after="450" w:line="48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Grozījumi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Dienvidkurzemes novada pašvaldības 2021. 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gada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30. 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septembra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saistošajos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noteikumos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Nr. 11 "Par 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sociālās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palīdzības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pabalstiem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Dienvidkurzemes 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novadā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"</w:t>
      </w:r>
    </w:p>
    <w:p w14:paraId="5387A2BB" w14:textId="77777777" w:rsidR="009244FA" w:rsidRPr="009244FA" w:rsidRDefault="009244FA" w:rsidP="009244FA">
      <w:pPr>
        <w:shd w:val="clear" w:color="auto" w:fill="FFFFFF"/>
        <w:spacing w:before="180" w:after="645" w:line="270" w:lineRule="atLeast"/>
        <w:jc w:val="right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APSTIPRINĀTI</w:t>
      </w:r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  <w:t>Dienvidkurzemes novada pašvaldības domes</w:t>
      </w:r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  <w:t xml:space="preserve">30.11.2021. </w:t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sēdē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(</w:t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prot.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Nr. 13, 23. §)</w:t>
      </w:r>
    </w:p>
    <w:p w14:paraId="157AC7DD" w14:textId="77777777" w:rsidR="009244FA" w:rsidRPr="009244FA" w:rsidRDefault="009244FA" w:rsidP="009244FA">
      <w:pPr>
        <w:shd w:val="clear" w:color="auto" w:fill="FFFFFF"/>
        <w:spacing w:before="180" w:after="645" w:line="270" w:lineRule="atLeast"/>
        <w:jc w:val="right"/>
        <w:rPr>
          <w:rFonts w:ascii="Arial" w:eastAsia="Times New Roman" w:hAnsi="Arial" w:cs="Arial"/>
          <w:i/>
          <w:iCs/>
          <w:color w:val="333333"/>
          <w:sz w:val="24"/>
          <w:szCs w:val="24"/>
        </w:rPr>
      </w:pP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Izdoti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saskaņā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ar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likuma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"Par </w:t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pašvaldībām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"</w:t>
      </w:r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  <w:t xml:space="preserve">43. </w:t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panta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trešo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daļu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</w:t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Sociālo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pakalpojumu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un</w:t>
      </w:r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sociālās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palīdzības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likuma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3. </w:t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panta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otro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daļu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gram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un 36</w:t>
      </w:r>
      <w:proofErr w:type="gram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. </w:t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panta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sesto</w:t>
      </w:r>
      <w:proofErr w:type="spellEnd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i/>
          <w:iCs/>
          <w:color w:val="333333"/>
          <w:sz w:val="24"/>
          <w:szCs w:val="24"/>
        </w:rPr>
        <w:t>daļu</w:t>
      </w:r>
      <w:proofErr w:type="spellEnd"/>
    </w:p>
    <w:p w14:paraId="22521A4A" w14:textId="77777777" w:rsidR="009244FA" w:rsidRPr="009244FA" w:rsidRDefault="009244FA" w:rsidP="009244FA">
      <w:pPr>
        <w:shd w:val="clear" w:color="auto" w:fill="FFFFFF"/>
        <w:spacing w:before="375" w:after="105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1.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Izdarīt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Dienvidkurzemes novada pašvaldības 2021.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gada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30.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septembra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saistošajos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noteikumos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Nr. 11 "Par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sociālās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palīdzības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pabalstiem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Dienvidkurzemes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novadā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"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šādus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grozījumus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42C75AC8" w14:textId="77777777" w:rsidR="009244FA" w:rsidRPr="009244FA" w:rsidRDefault="009244FA" w:rsidP="009244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9244FA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1.1.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Izteikt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29.2.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punktu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šādā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redakcijā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>: 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gadījumos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, kas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iestājušies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no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mājsaimniecības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gribas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neatkarīgu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apstākļu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dēļ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laikā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kad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valstī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izsludināta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ārkārtējā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situācija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vienu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kalendāra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mēnesi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pēc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ārkārtējās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situācijas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beigām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saistībā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ar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Covid-19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katrai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mājsaimniecībā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dzīvojošai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personai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, tai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skaitā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audžuģimenei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aizbildnim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ne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vairāk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kā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100.00 euro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mēnesī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kā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arī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palielina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izmaksājamā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pabalsta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apmēru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par 50.00 euro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mēnesī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par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katru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personas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aprūpē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esošu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bērnu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līdz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18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gadu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vecumam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, ja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izpildās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viens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no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šādiem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nosacījumiem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:</w:t>
      </w:r>
    </w:p>
    <w:p w14:paraId="74F27296" w14:textId="77777777" w:rsidR="009244FA" w:rsidRPr="009244FA" w:rsidRDefault="009244FA" w:rsidP="009244FA">
      <w:pPr>
        <w:shd w:val="clear" w:color="auto" w:fill="FFFFFF"/>
        <w:spacing w:before="375" w:after="105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2.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Saistošie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noteikumi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stājas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spēkā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nākošajā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dienā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pēc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to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publicēšanas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oficiālajā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izdevumā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"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Latvijas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color w:val="333333"/>
          <w:sz w:val="24"/>
          <w:szCs w:val="24"/>
        </w:rPr>
        <w:t>Vēstnesis</w:t>
      </w:r>
      <w:proofErr w:type="spellEnd"/>
      <w:r w:rsidRPr="009244FA">
        <w:rPr>
          <w:rFonts w:ascii="Arial" w:eastAsia="Times New Roman" w:hAnsi="Arial" w:cs="Arial"/>
          <w:color w:val="333333"/>
          <w:sz w:val="24"/>
          <w:szCs w:val="24"/>
        </w:rPr>
        <w:t>".</w:t>
      </w:r>
    </w:p>
    <w:p w14:paraId="1422CCB8" w14:textId="7D904E32" w:rsidR="009244FA" w:rsidRPr="009244FA" w:rsidRDefault="009244FA" w:rsidP="000E6AC4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 w:rsidRPr="009244FA">
        <w:rPr>
          <w:rFonts w:ascii="Arial" w:eastAsia="Times New Roman" w:hAnsi="Arial" w:cs="Arial"/>
          <w:sz w:val="24"/>
          <w:szCs w:val="24"/>
        </w:rPr>
        <w:t>Dienvidkurzemes novada</w:t>
      </w:r>
      <w:r w:rsidRPr="009244FA">
        <w:rPr>
          <w:rFonts w:ascii="Arial" w:eastAsia="Times New Roman" w:hAnsi="Arial" w:cs="Arial"/>
          <w:sz w:val="24"/>
          <w:szCs w:val="24"/>
        </w:rPr>
        <w:br/>
        <w:t>pašvaldības</w:t>
      </w:r>
      <w:r w:rsidRPr="009244F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 </w:t>
      </w:r>
      <w:r w:rsidRPr="009244FA">
        <w:rPr>
          <w:rFonts w:ascii="Arial" w:eastAsia="Times New Roman" w:hAnsi="Arial" w:cs="Arial"/>
          <w:sz w:val="24"/>
          <w:szCs w:val="24"/>
        </w:rPr>
        <w:t xml:space="preserve">domes </w:t>
      </w:r>
      <w:proofErr w:type="spellStart"/>
      <w:r w:rsidRPr="009244FA">
        <w:rPr>
          <w:rFonts w:ascii="Arial" w:eastAsia="Times New Roman" w:hAnsi="Arial" w:cs="Arial"/>
          <w:sz w:val="24"/>
          <w:szCs w:val="24"/>
        </w:rPr>
        <w:t>priekšsēdētājs</w:t>
      </w:r>
      <w:proofErr w:type="spellEnd"/>
      <w:r w:rsidRPr="000E6AC4">
        <w:rPr>
          <w:rFonts w:ascii="Arial" w:eastAsia="Times New Roman" w:hAnsi="Arial" w:cs="Arial"/>
          <w:sz w:val="24"/>
          <w:szCs w:val="24"/>
        </w:rPr>
        <w:t xml:space="preserve"> </w:t>
      </w:r>
      <w:r w:rsidRPr="009244FA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A. </w:t>
      </w:r>
      <w:proofErr w:type="spellStart"/>
      <w:r w:rsidRPr="009244FA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Priedols</w:t>
      </w:r>
      <w:proofErr w:type="spellEnd"/>
    </w:p>
    <w:p w14:paraId="16147BCC" w14:textId="77777777" w:rsidR="009244FA" w:rsidRPr="009244FA" w:rsidRDefault="009244FA" w:rsidP="009244FA">
      <w:pPr>
        <w:shd w:val="clear" w:color="auto" w:fill="FFFFFF"/>
        <w:spacing w:before="375" w:after="105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9244F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2ADE097E" w14:textId="77777777" w:rsidR="009244FA" w:rsidRPr="009244FA" w:rsidRDefault="009244FA" w:rsidP="009244FA">
      <w:pPr>
        <w:shd w:val="clear" w:color="auto" w:fill="FFFFFF"/>
        <w:spacing w:before="705" w:after="375" w:line="360" w:lineRule="atLeast"/>
        <w:jc w:val="center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Paskaidrojuma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raksts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br/>
        <w:t xml:space="preserve">Dienvidkurzemes novada pašvaldības 2021. 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gada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30. 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novembra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saistošajiem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noteikumiem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Nr. 15 "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Grozījumi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Dienvidkurzemes novada pašvaldības 2021. 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gada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30. 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septembra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saistošajos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noteikumos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Nr. 11/2021 "Par 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sociālās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palīdzības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pabalstiem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Dienvidkurzemes </w:t>
      </w:r>
      <w:proofErr w:type="spellStart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novadā</w:t>
      </w:r>
      <w:proofErr w:type="spellEnd"/>
      <w:r w:rsidRPr="009244FA">
        <w:rPr>
          <w:rFonts w:ascii="Arial" w:eastAsia="Times New Roman" w:hAnsi="Arial" w:cs="Arial"/>
          <w:b/>
          <w:bCs/>
          <w:color w:val="333333"/>
          <w:sz w:val="24"/>
          <w:szCs w:val="24"/>
        </w:rPr>
        <w:t>""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4"/>
        <w:gridCol w:w="5980"/>
      </w:tblGrid>
      <w:tr w:rsidR="009244FA" w:rsidRPr="009244FA" w14:paraId="4B659B1A" w14:textId="77777777" w:rsidTr="009244FA">
        <w:tc>
          <w:tcPr>
            <w:tcW w:w="18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1EEC16" w14:textId="77777777" w:rsidR="009244FA" w:rsidRPr="009244FA" w:rsidRDefault="009244FA" w:rsidP="009244F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Paskaidrojuma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raksta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sadaļas</w:t>
            </w:r>
            <w:proofErr w:type="spellEnd"/>
          </w:p>
        </w:tc>
        <w:tc>
          <w:tcPr>
            <w:tcW w:w="32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53BC24" w14:textId="77777777" w:rsidR="009244FA" w:rsidRPr="009244FA" w:rsidRDefault="009244FA" w:rsidP="009244FA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Norādāmā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informācija</w:t>
            </w:r>
            <w:proofErr w:type="spellEnd"/>
          </w:p>
        </w:tc>
      </w:tr>
      <w:tr w:rsidR="009244FA" w:rsidRPr="009244FA" w14:paraId="5E0B9FE0" w14:textId="77777777" w:rsidTr="009244FA">
        <w:tc>
          <w:tcPr>
            <w:tcW w:w="18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FC0F30" w14:textId="77777777" w:rsidR="009244FA" w:rsidRPr="009244FA" w:rsidRDefault="009244FA" w:rsidP="009244F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1.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Īss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projekta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satura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izklāsts</w:t>
            </w:r>
            <w:proofErr w:type="spellEnd"/>
          </w:p>
        </w:tc>
        <w:tc>
          <w:tcPr>
            <w:tcW w:w="32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DF56A4" w14:textId="77777777" w:rsidR="009244FA" w:rsidRPr="009244FA" w:rsidRDefault="009244FA" w:rsidP="009244F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Pašvaldība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ir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saņēmusi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no Vides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aizsardzības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un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reģionālās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attīstības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ministrijas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atzinumu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ar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lūgumu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precizēt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saistošo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noteikumu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29.2. 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apakšpunktu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</w:tr>
      <w:tr w:rsidR="009244FA" w:rsidRPr="009244FA" w14:paraId="1B9BED8B" w14:textId="77777777" w:rsidTr="009244FA">
        <w:tc>
          <w:tcPr>
            <w:tcW w:w="18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014D75" w14:textId="77777777" w:rsidR="009244FA" w:rsidRPr="009244FA" w:rsidRDefault="009244FA" w:rsidP="009244F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2.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Projekta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nepieciešamības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pamatojums</w:t>
            </w:r>
            <w:proofErr w:type="spellEnd"/>
          </w:p>
        </w:tc>
        <w:tc>
          <w:tcPr>
            <w:tcW w:w="32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056FB9" w14:textId="77777777" w:rsidR="009244FA" w:rsidRPr="009244FA" w:rsidRDefault="009244FA" w:rsidP="009244F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Saistošo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noteikumu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29.2.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apakšpunktā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ir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svītrots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vārds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  <w:r w:rsidRPr="009244F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"</w:t>
            </w:r>
            <w:proofErr w:type="spellStart"/>
            <w:r w:rsidRPr="009244F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darbspējīgai</w:t>
            </w:r>
            <w:proofErr w:type="spellEnd"/>
            <w:r w:rsidRPr="009244F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"</w:t>
            </w:r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, jo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Sociālo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pakalpojumu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un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sociālās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palīdzības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likuma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Pārejas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noteikumu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37.</w:t>
            </w:r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vertAlign w:val="superscript"/>
              </w:rPr>
              <w:t>2 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punkta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2.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apakšpunkts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paredz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kompensēt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50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procentus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no </w:t>
            </w:r>
            <w:proofErr w:type="spellStart"/>
            <w:r w:rsidRPr="009244F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personai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izmaksātā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pabalsta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apmēra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kā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arī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veikts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precizējums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29.2.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apakšpunktā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par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aprūpē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esošu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bērnu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</w:tr>
      <w:tr w:rsidR="009244FA" w:rsidRPr="009244FA" w14:paraId="0FEBD801" w14:textId="77777777" w:rsidTr="009244FA">
        <w:tc>
          <w:tcPr>
            <w:tcW w:w="18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F49F2C" w14:textId="77777777" w:rsidR="009244FA" w:rsidRPr="009244FA" w:rsidRDefault="009244FA" w:rsidP="009244F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Informācija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par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plānoto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projekta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ietekmi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uz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pašvaldības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budžetu</w:t>
            </w:r>
            <w:proofErr w:type="spellEnd"/>
          </w:p>
        </w:tc>
        <w:tc>
          <w:tcPr>
            <w:tcW w:w="32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8B453C" w14:textId="77777777" w:rsidR="009244FA" w:rsidRPr="009244FA" w:rsidRDefault="009244FA" w:rsidP="009244F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Sociālā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palīdzība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tiek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sniegta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plānotā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budžeta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ietvaros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</w:tr>
      <w:tr w:rsidR="009244FA" w:rsidRPr="009244FA" w14:paraId="79B391C4" w14:textId="77777777" w:rsidTr="009244FA">
        <w:tc>
          <w:tcPr>
            <w:tcW w:w="18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CA6398" w14:textId="77777777" w:rsidR="009244FA" w:rsidRPr="009244FA" w:rsidRDefault="009244FA" w:rsidP="009244F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4.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Informācija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par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plānoto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projekta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ietekmi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uz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uzņēmējdarbības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vidi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pašvaldības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teritorijā</w:t>
            </w:r>
            <w:proofErr w:type="spellEnd"/>
          </w:p>
        </w:tc>
        <w:tc>
          <w:tcPr>
            <w:tcW w:w="32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5BB821" w14:textId="77777777" w:rsidR="009244FA" w:rsidRPr="009244FA" w:rsidRDefault="009244FA" w:rsidP="009244F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Saistošo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noteikumu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projektam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nav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ietekmes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uz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uzņēmējdarbības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vidi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</w:tr>
      <w:tr w:rsidR="009244FA" w:rsidRPr="009244FA" w14:paraId="3845E49C" w14:textId="77777777" w:rsidTr="009244FA">
        <w:tc>
          <w:tcPr>
            <w:tcW w:w="18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EC0CDA" w14:textId="77777777" w:rsidR="009244FA" w:rsidRPr="009244FA" w:rsidRDefault="009244FA" w:rsidP="009244F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5.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Informācija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par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administratīvajām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procedūrām</w:t>
            </w:r>
            <w:proofErr w:type="spellEnd"/>
          </w:p>
        </w:tc>
        <w:tc>
          <w:tcPr>
            <w:tcW w:w="32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B602C1" w14:textId="77777777" w:rsidR="009244FA" w:rsidRPr="009244FA" w:rsidRDefault="009244FA" w:rsidP="009244F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Saistošie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noteikumi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izskatīti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Dienvidkurzemes novada domes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Sociālo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un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veselības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jautājumu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komitejā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un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apstiprināti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Dienvidkurzemes novada domes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sēdē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  <w:p w14:paraId="6B946DD1" w14:textId="77777777" w:rsidR="009244FA" w:rsidRPr="009244FA" w:rsidRDefault="009244FA" w:rsidP="009244F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Saistošos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noteikumus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publicē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oficiālajā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izdevumā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"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Latvijas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Vēstnesis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", Dienvidkurzemes novada pašvaldības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informatīvajā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bezmaksas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izdevumā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"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Dienvidkurzeme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" un pašvaldības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tīmekļa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vietnē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– www.grobina.lv.</w:t>
            </w:r>
          </w:p>
        </w:tc>
      </w:tr>
      <w:tr w:rsidR="009244FA" w:rsidRPr="009244FA" w14:paraId="488059C1" w14:textId="77777777" w:rsidTr="009244FA">
        <w:tc>
          <w:tcPr>
            <w:tcW w:w="18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600DE9" w14:textId="77777777" w:rsidR="009244FA" w:rsidRPr="009244FA" w:rsidRDefault="009244FA" w:rsidP="009244F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6.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Informācija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par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konsultācijām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ar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privātpersonām</w:t>
            </w:r>
            <w:proofErr w:type="spellEnd"/>
          </w:p>
        </w:tc>
        <w:tc>
          <w:tcPr>
            <w:tcW w:w="3200" w:type="pct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028A4C" w14:textId="77777777" w:rsidR="009244FA" w:rsidRPr="009244FA" w:rsidRDefault="009244FA" w:rsidP="009244FA">
            <w:pPr>
              <w:spacing w:after="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Nav </w:t>
            </w:r>
            <w:proofErr w:type="spellStart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notikušas</w:t>
            </w:r>
            <w:proofErr w:type="spellEnd"/>
            <w:r w:rsidRPr="009244FA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</w:tr>
    </w:tbl>
    <w:p w14:paraId="199D8A41" w14:textId="77777777" w:rsidR="000E6AC4" w:rsidRDefault="000E6AC4" w:rsidP="000E6AC4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</w:rPr>
      </w:pPr>
    </w:p>
    <w:p w14:paraId="7F001A46" w14:textId="52942D5F" w:rsidR="009244FA" w:rsidRPr="009244FA" w:rsidRDefault="009244FA" w:rsidP="000E6AC4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 w:rsidRPr="009244FA">
        <w:rPr>
          <w:rFonts w:ascii="Arial" w:eastAsia="Times New Roman" w:hAnsi="Arial" w:cs="Arial"/>
          <w:sz w:val="24"/>
          <w:szCs w:val="24"/>
        </w:rPr>
        <w:t>Dienvidkurzemes novada</w:t>
      </w:r>
      <w:r w:rsidRPr="009244FA">
        <w:rPr>
          <w:rFonts w:ascii="Arial" w:eastAsia="Times New Roman" w:hAnsi="Arial" w:cs="Arial"/>
          <w:sz w:val="24"/>
          <w:szCs w:val="24"/>
        </w:rPr>
        <w:br/>
        <w:t>pašvaldības</w:t>
      </w:r>
      <w:r w:rsidRPr="009244FA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 </w:t>
      </w:r>
      <w:r w:rsidRPr="009244FA">
        <w:rPr>
          <w:rFonts w:ascii="Arial" w:eastAsia="Times New Roman" w:hAnsi="Arial" w:cs="Arial"/>
          <w:sz w:val="24"/>
          <w:szCs w:val="24"/>
        </w:rPr>
        <w:t xml:space="preserve">domes </w:t>
      </w:r>
      <w:proofErr w:type="spellStart"/>
      <w:r w:rsidRPr="009244FA">
        <w:rPr>
          <w:rFonts w:ascii="Arial" w:eastAsia="Times New Roman" w:hAnsi="Arial" w:cs="Arial"/>
          <w:sz w:val="24"/>
          <w:szCs w:val="24"/>
        </w:rPr>
        <w:t>priekšsēdētājs</w:t>
      </w:r>
      <w:r w:rsidRPr="009244FA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A</w:t>
      </w:r>
      <w:proofErr w:type="spellEnd"/>
      <w:r w:rsidRPr="009244FA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9244FA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Priedols</w:t>
      </w:r>
      <w:proofErr w:type="spellEnd"/>
    </w:p>
    <w:p w14:paraId="0965D09C" w14:textId="77777777" w:rsidR="009244FA" w:rsidRPr="000E6AC4" w:rsidRDefault="009244FA">
      <w:pPr>
        <w:rPr>
          <w:rFonts w:ascii="Arial" w:hAnsi="Arial" w:cs="Arial"/>
          <w:sz w:val="24"/>
          <w:szCs w:val="24"/>
        </w:rPr>
      </w:pPr>
    </w:p>
    <w:sectPr w:rsidR="009244FA" w:rsidRPr="000E6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FA"/>
    <w:rsid w:val="000E6AC4"/>
    <w:rsid w:val="0092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9A11"/>
  <w15:chartTrackingRefBased/>
  <w15:docId w15:val="{34CA4332-7F99-46A4-8021-F4908DEC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link w:val="Virsraksts3Rakstz"/>
    <w:uiPriority w:val="9"/>
    <w:qFormat/>
    <w:rsid w:val="009244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Virsraksts4">
    <w:name w:val="heading 4"/>
    <w:basedOn w:val="Parasts"/>
    <w:link w:val="Virsraksts4Rakstz"/>
    <w:uiPriority w:val="9"/>
    <w:qFormat/>
    <w:rsid w:val="009244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9244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9244F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knoteik">
    <w:name w:val="lik_noteik"/>
    <w:basedOn w:val="Parasts"/>
    <w:rsid w:val="00924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dat">
    <w:name w:val="lik_dat"/>
    <w:basedOn w:val="Parasts"/>
    <w:rsid w:val="00924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izd">
    <w:name w:val="lik_izd"/>
    <w:basedOn w:val="Parasts"/>
    <w:rsid w:val="00924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semiHidden/>
    <w:unhideWhenUsed/>
    <w:rsid w:val="00924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paraksts">
    <w:name w:val="lik_paraksts"/>
    <w:basedOn w:val="Parasts"/>
    <w:rsid w:val="00924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Kļava</dc:creator>
  <cp:keywords/>
  <dc:description/>
  <cp:lastModifiedBy>Iveta Kļava</cp:lastModifiedBy>
  <cp:revision>1</cp:revision>
  <dcterms:created xsi:type="dcterms:W3CDTF">2022-01-26T11:18:00Z</dcterms:created>
  <dcterms:modified xsi:type="dcterms:W3CDTF">2022-01-26T11:53:00Z</dcterms:modified>
</cp:coreProperties>
</file>